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D" w:rsidRPr="00265B51" w:rsidRDefault="00F27598" w:rsidP="00F27598">
      <w:pPr>
        <w:jc w:val="center"/>
        <w:rPr>
          <w:rFonts w:ascii="Broadway" w:hAnsi="Broadway"/>
          <w:sz w:val="36"/>
          <w:szCs w:val="36"/>
        </w:rPr>
      </w:pPr>
      <w:r w:rsidRPr="00265B51">
        <w:rPr>
          <w:rFonts w:ascii="Broadway" w:hAnsi="Broadway"/>
          <w:sz w:val="36"/>
          <w:szCs w:val="36"/>
        </w:rPr>
        <w:t>RAWLINS INTERAGENCY DISPATCH CENTER</w:t>
      </w:r>
    </w:p>
    <w:p w:rsidR="00F27598" w:rsidRDefault="00F27598" w:rsidP="00F27598">
      <w:pPr>
        <w:jc w:val="center"/>
        <w:rPr>
          <w:rFonts w:ascii="Broadway" w:hAnsi="Broadway"/>
          <w:sz w:val="32"/>
          <w:szCs w:val="32"/>
        </w:rPr>
      </w:pPr>
    </w:p>
    <w:p w:rsidR="00F27598" w:rsidRDefault="00F27598" w:rsidP="00F27598">
      <w:pPr>
        <w:jc w:val="center"/>
        <w:rPr>
          <w:rFonts w:ascii="Broadway" w:hAnsi="Broadway"/>
          <w:sz w:val="32"/>
          <w:szCs w:val="32"/>
        </w:rPr>
      </w:pPr>
    </w:p>
    <w:p w:rsidR="00F27598" w:rsidRDefault="00021A84" w:rsidP="00F27598">
      <w:pPr>
        <w:jc w:val="center"/>
        <w:rPr>
          <w:rFonts w:ascii="Broadway" w:hAnsi="Broadway"/>
          <w:sz w:val="32"/>
          <w:szCs w:val="32"/>
        </w:rPr>
      </w:pPr>
      <w:r>
        <w:rPr>
          <w:rFonts w:ascii="Broadway" w:hAnsi="Broadway"/>
          <w:noProof/>
          <w:sz w:val="32"/>
          <w:szCs w:val="32"/>
        </w:rPr>
        <w:drawing>
          <wp:inline distT="0" distB="0" distL="0" distR="0">
            <wp:extent cx="6443980" cy="4305300"/>
            <wp:effectExtent l="0" t="0" r="0" b="0"/>
            <wp:docPr id="1" name="Picture 1" descr="130480797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48079784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3980" cy="4305300"/>
                    </a:xfrm>
                    <a:prstGeom prst="rect">
                      <a:avLst/>
                    </a:prstGeom>
                    <a:noFill/>
                    <a:ln>
                      <a:noFill/>
                    </a:ln>
                  </pic:spPr>
                </pic:pic>
              </a:graphicData>
            </a:graphic>
          </wp:inline>
        </w:drawing>
      </w:r>
    </w:p>
    <w:p w:rsidR="00F27598" w:rsidRDefault="00F27598" w:rsidP="00F27598">
      <w:pPr>
        <w:jc w:val="center"/>
        <w:rPr>
          <w:rFonts w:ascii="Broadway" w:hAnsi="Broadway"/>
          <w:sz w:val="32"/>
          <w:szCs w:val="32"/>
        </w:rPr>
      </w:pPr>
    </w:p>
    <w:p w:rsidR="00F27598" w:rsidRDefault="00F27598" w:rsidP="00F27598">
      <w:pPr>
        <w:jc w:val="center"/>
        <w:rPr>
          <w:rFonts w:ascii="Broadway" w:hAnsi="Broadway"/>
          <w:sz w:val="32"/>
          <w:szCs w:val="32"/>
        </w:rPr>
      </w:pPr>
    </w:p>
    <w:p w:rsidR="00F27598" w:rsidRPr="00265B51" w:rsidRDefault="00F27598" w:rsidP="00F27598">
      <w:pPr>
        <w:jc w:val="center"/>
        <w:rPr>
          <w:rFonts w:ascii="Broadway" w:hAnsi="Broadway"/>
          <w:sz w:val="36"/>
          <w:szCs w:val="36"/>
        </w:rPr>
      </w:pPr>
      <w:r w:rsidRPr="00265B51">
        <w:rPr>
          <w:rFonts w:ascii="Broadway" w:hAnsi="Broadway"/>
          <w:sz w:val="36"/>
          <w:szCs w:val="36"/>
        </w:rPr>
        <w:t>201</w:t>
      </w:r>
      <w:r w:rsidR="00535304">
        <w:rPr>
          <w:rFonts w:ascii="Broadway" w:hAnsi="Broadway"/>
          <w:sz w:val="36"/>
          <w:szCs w:val="36"/>
        </w:rPr>
        <w:t>2</w:t>
      </w:r>
      <w:r w:rsidRPr="00265B51">
        <w:rPr>
          <w:rFonts w:ascii="Broadway" w:hAnsi="Broadway"/>
          <w:sz w:val="36"/>
          <w:szCs w:val="36"/>
        </w:rPr>
        <w:t xml:space="preserve"> ANNUAL REPORT</w:t>
      </w:r>
    </w:p>
    <w:p w:rsidR="00F27598" w:rsidRDefault="00F27598" w:rsidP="00F27598">
      <w:pPr>
        <w:jc w:val="center"/>
        <w:rPr>
          <w:rFonts w:ascii="Broadway" w:hAnsi="Broadway"/>
          <w:sz w:val="32"/>
          <w:szCs w:val="32"/>
        </w:rPr>
      </w:pPr>
    </w:p>
    <w:p w:rsidR="00F27598" w:rsidRDefault="00F27598" w:rsidP="00265B51">
      <w:pPr>
        <w:rPr>
          <w:rFonts w:ascii="Broadway" w:hAnsi="Broadway"/>
          <w:sz w:val="32"/>
          <w:szCs w:val="32"/>
        </w:rPr>
      </w:pPr>
    </w:p>
    <w:p w:rsidR="00F27598" w:rsidRDefault="00F27598" w:rsidP="00F27598">
      <w:pPr>
        <w:jc w:val="center"/>
        <w:rPr>
          <w:rFonts w:ascii="Broadway" w:hAnsi="Broadway"/>
          <w:sz w:val="32"/>
          <w:szCs w:val="32"/>
        </w:rPr>
      </w:pPr>
    </w:p>
    <w:p w:rsidR="00F27598" w:rsidRPr="00410BFC" w:rsidRDefault="00F27598" w:rsidP="00D96DAC">
      <w:pPr>
        <w:spacing w:after="0"/>
        <w:jc w:val="center"/>
        <w:rPr>
          <w:rFonts w:cs="Calibri"/>
          <w:b/>
          <w:sz w:val="28"/>
          <w:szCs w:val="28"/>
        </w:rPr>
      </w:pPr>
      <w:r w:rsidRPr="00410BFC">
        <w:rPr>
          <w:rFonts w:cs="Calibri"/>
          <w:b/>
          <w:sz w:val="28"/>
          <w:szCs w:val="28"/>
        </w:rPr>
        <w:lastRenderedPageBreak/>
        <w:t>Introduction to the Center</w:t>
      </w:r>
    </w:p>
    <w:p w:rsidR="00F27598" w:rsidRPr="00410BFC" w:rsidRDefault="005D3A66" w:rsidP="00D96DAC">
      <w:pPr>
        <w:spacing w:after="0"/>
        <w:rPr>
          <w:rFonts w:cs="Calibri"/>
          <w:sz w:val="24"/>
          <w:szCs w:val="24"/>
        </w:rPr>
      </w:pPr>
      <w:r>
        <w:rPr>
          <w:rFonts w:cs="Calibri"/>
          <w:sz w:val="24"/>
          <w:szCs w:val="24"/>
        </w:rPr>
        <w:t>Rawlins Interagency Dispatch Center is hosted by</w:t>
      </w:r>
      <w:r w:rsidR="00F27598" w:rsidRPr="00410BFC">
        <w:rPr>
          <w:rFonts w:cs="Calibri"/>
          <w:sz w:val="24"/>
          <w:szCs w:val="24"/>
        </w:rPr>
        <w:t xml:space="preserve"> Bureau of Land Management’s High Desert District. The center is located in Rawlins</w:t>
      </w:r>
      <w:r w:rsidR="00265B51">
        <w:rPr>
          <w:rFonts w:cs="Calibri"/>
          <w:sz w:val="24"/>
          <w:szCs w:val="24"/>
        </w:rPr>
        <w:t>,</w:t>
      </w:r>
      <w:r w:rsidR="00F27598" w:rsidRPr="00410BFC">
        <w:rPr>
          <w:rFonts w:cs="Calibri"/>
          <w:sz w:val="24"/>
          <w:szCs w:val="24"/>
        </w:rPr>
        <w:t xml:space="preserve"> WY. Rawlins is a town of 9</w:t>
      </w:r>
      <w:r w:rsidR="00265B51">
        <w:rPr>
          <w:rFonts w:cs="Calibri"/>
          <w:sz w:val="24"/>
          <w:szCs w:val="24"/>
        </w:rPr>
        <w:t>,</w:t>
      </w:r>
      <w:r w:rsidR="00F27598" w:rsidRPr="00410BFC">
        <w:rPr>
          <w:rFonts w:cs="Calibri"/>
          <w:sz w:val="24"/>
          <w:szCs w:val="24"/>
        </w:rPr>
        <w:t>700 people located off Interstate 80 in the middle part of the lower half of Wyoming. We provide services for seven counties, four BLM Field Offices, Wyoming State Forestry, National Park Service, and Fish and Wildlife Service.</w:t>
      </w:r>
    </w:p>
    <w:p w:rsidR="00F27598" w:rsidRPr="00410BFC" w:rsidRDefault="00F27598" w:rsidP="00D96DAC">
      <w:pPr>
        <w:spacing w:after="0"/>
        <w:rPr>
          <w:rFonts w:cs="Calibri"/>
          <w:sz w:val="24"/>
          <w:szCs w:val="24"/>
        </w:rPr>
      </w:pPr>
      <w:r w:rsidRPr="00410BFC">
        <w:rPr>
          <w:rFonts w:cs="Calibri"/>
          <w:sz w:val="24"/>
          <w:szCs w:val="24"/>
        </w:rPr>
        <w:t xml:space="preserve">Our staff includes one Center Manager </w:t>
      </w:r>
      <w:r w:rsidR="00561109" w:rsidRPr="00410BFC">
        <w:rPr>
          <w:rFonts w:cs="Calibri"/>
          <w:sz w:val="24"/>
          <w:szCs w:val="24"/>
        </w:rPr>
        <w:t>(</w:t>
      </w:r>
      <w:r w:rsidRPr="00410BFC">
        <w:rPr>
          <w:rFonts w:cs="Calibri"/>
          <w:sz w:val="24"/>
          <w:szCs w:val="24"/>
        </w:rPr>
        <w:t xml:space="preserve">which </w:t>
      </w:r>
      <w:r w:rsidR="00535304">
        <w:rPr>
          <w:rFonts w:cs="Calibri"/>
          <w:sz w:val="24"/>
          <w:szCs w:val="24"/>
        </w:rPr>
        <w:t>became vacant in August of this year</w:t>
      </w:r>
      <w:r w:rsidR="00561109" w:rsidRPr="00410BFC">
        <w:rPr>
          <w:rFonts w:cs="Calibri"/>
          <w:sz w:val="24"/>
          <w:szCs w:val="24"/>
        </w:rPr>
        <w:t>), one Assistant Center Manager (</w:t>
      </w:r>
      <w:r w:rsidR="00535304">
        <w:rPr>
          <w:rFonts w:cs="Calibri"/>
          <w:sz w:val="24"/>
          <w:szCs w:val="24"/>
        </w:rPr>
        <w:t>filled in March of this year and now serving as the Acting Center Manager</w:t>
      </w:r>
      <w:r w:rsidR="00561109" w:rsidRPr="00410BFC">
        <w:rPr>
          <w:rFonts w:cs="Calibri"/>
          <w:sz w:val="24"/>
          <w:szCs w:val="24"/>
        </w:rPr>
        <w:t>), one career-seasonal Initial Attack Dispatcher</w:t>
      </w:r>
      <w:r w:rsidR="00535304">
        <w:rPr>
          <w:rFonts w:cs="Calibri"/>
          <w:sz w:val="24"/>
          <w:szCs w:val="24"/>
        </w:rPr>
        <w:t xml:space="preserve"> (hired in November after 5 month vacancy)</w:t>
      </w:r>
      <w:r w:rsidR="00561109" w:rsidRPr="00410BFC">
        <w:rPr>
          <w:rFonts w:cs="Calibri"/>
          <w:sz w:val="24"/>
          <w:szCs w:val="24"/>
        </w:rPr>
        <w:t>, and one career-seasonal Logistics Dispatcher</w:t>
      </w:r>
      <w:r w:rsidR="00535304">
        <w:rPr>
          <w:rFonts w:cs="Calibri"/>
          <w:sz w:val="24"/>
          <w:szCs w:val="24"/>
        </w:rPr>
        <w:t xml:space="preserve"> (hired in October after a one year vacancy)</w:t>
      </w:r>
      <w:r w:rsidR="00561109" w:rsidRPr="00410BFC">
        <w:rPr>
          <w:rFonts w:cs="Calibri"/>
          <w:sz w:val="24"/>
          <w:szCs w:val="24"/>
        </w:rPr>
        <w:t>.  During the summer months we hire 1 to 3 seasonal dispatchers.  This year we had t</w:t>
      </w:r>
      <w:r w:rsidR="00535304">
        <w:rPr>
          <w:rFonts w:cs="Calibri"/>
          <w:sz w:val="24"/>
          <w:szCs w:val="24"/>
        </w:rPr>
        <w:t>hree</w:t>
      </w:r>
      <w:r w:rsidR="00561109" w:rsidRPr="00410BFC">
        <w:rPr>
          <w:rFonts w:cs="Calibri"/>
          <w:sz w:val="24"/>
          <w:szCs w:val="24"/>
        </w:rPr>
        <w:t xml:space="preserve"> seasonal dispatchers.</w:t>
      </w:r>
    </w:p>
    <w:p w:rsidR="00D83E3C" w:rsidRPr="00410BFC" w:rsidRDefault="005D3A66" w:rsidP="00D96DAC">
      <w:pPr>
        <w:spacing w:after="0"/>
        <w:rPr>
          <w:rFonts w:cs="Calibri"/>
          <w:sz w:val="24"/>
          <w:szCs w:val="24"/>
        </w:rPr>
      </w:pPr>
      <w:r>
        <w:rPr>
          <w:rFonts w:cs="Calibri"/>
          <w:sz w:val="24"/>
          <w:szCs w:val="24"/>
        </w:rPr>
        <w:t>The dispatch zone</w:t>
      </w:r>
      <w:r w:rsidR="00561109" w:rsidRPr="00410BFC">
        <w:rPr>
          <w:rFonts w:cs="Calibri"/>
          <w:sz w:val="24"/>
          <w:szCs w:val="24"/>
        </w:rPr>
        <w:t xml:space="preserve"> covers approximately 21 million acres in the state of Wyoming. 48% of this land is owned by the Federal Government</w:t>
      </w:r>
      <w:r w:rsidR="00D83E3C" w:rsidRPr="00410BFC">
        <w:rPr>
          <w:rFonts w:cs="Calibri"/>
          <w:sz w:val="24"/>
          <w:szCs w:val="24"/>
        </w:rPr>
        <w:t xml:space="preserve"> (approximately 10 million acres)</w:t>
      </w:r>
      <w:r w:rsidR="00561109" w:rsidRPr="00410BFC">
        <w:rPr>
          <w:rFonts w:cs="Calibri"/>
          <w:sz w:val="24"/>
          <w:szCs w:val="24"/>
        </w:rPr>
        <w:t>.</w:t>
      </w:r>
      <w:r w:rsidR="00D83E3C" w:rsidRPr="00410BFC">
        <w:rPr>
          <w:rFonts w:cs="Calibri"/>
          <w:sz w:val="24"/>
          <w:szCs w:val="24"/>
        </w:rPr>
        <w:t xml:space="preserve"> A large percent of High Desert District is checkerboard due to the Union Pacific Railroad that runs through Southern Wyoming. This type of land ownership is cause for</w:t>
      </w:r>
      <w:r w:rsidR="00265B51">
        <w:rPr>
          <w:rFonts w:cs="Calibri"/>
          <w:sz w:val="24"/>
          <w:szCs w:val="24"/>
        </w:rPr>
        <w:t xml:space="preserve"> a</w:t>
      </w:r>
      <w:r w:rsidR="00D83E3C" w:rsidRPr="00410BFC">
        <w:rPr>
          <w:rFonts w:cs="Calibri"/>
          <w:sz w:val="24"/>
          <w:szCs w:val="24"/>
        </w:rPr>
        <w:t xml:space="preserve"> multiple agency response to incidents throughout the District.</w:t>
      </w:r>
    </w:p>
    <w:p w:rsidR="00DD2DBB" w:rsidRDefault="00DD2DBB" w:rsidP="00D96DAC">
      <w:pPr>
        <w:spacing w:after="0"/>
        <w:jc w:val="center"/>
        <w:rPr>
          <w:rFonts w:cs="Calibri"/>
          <w:b/>
          <w:sz w:val="28"/>
          <w:szCs w:val="28"/>
        </w:rPr>
      </w:pPr>
    </w:p>
    <w:p w:rsidR="00D96DAC" w:rsidRDefault="00D96DAC" w:rsidP="00D96DAC">
      <w:pPr>
        <w:spacing w:after="0"/>
        <w:jc w:val="center"/>
        <w:rPr>
          <w:rFonts w:cs="Calibri"/>
          <w:b/>
          <w:sz w:val="28"/>
          <w:szCs w:val="28"/>
        </w:rPr>
      </w:pPr>
    </w:p>
    <w:p w:rsidR="00561109" w:rsidRPr="00410BFC" w:rsidRDefault="00D83E3C" w:rsidP="00D96DAC">
      <w:pPr>
        <w:spacing w:after="0"/>
        <w:jc w:val="center"/>
        <w:rPr>
          <w:rFonts w:cs="Calibri"/>
          <w:sz w:val="28"/>
          <w:szCs w:val="28"/>
        </w:rPr>
      </w:pPr>
      <w:r w:rsidRPr="00410BFC">
        <w:rPr>
          <w:rFonts w:cs="Calibri"/>
          <w:b/>
          <w:sz w:val="28"/>
          <w:szCs w:val="28"/>
        </w:rPr>
        <w:t>Overview of the 201</w:t>
      </w:r>
      <w:r w:rsidR="00535304">
        <w:rPr>
          <w:rFonts w:cs="Calibri"/>
          <w:b/>
          <w:sz w:val="28"/>
          <w:szCs w:val="28"/>
        </w:rPr>
        <w:t>2</w:t>
      </w:r>
      <w:r w:rsidRPr="00410BFC">
        <w:rPr>
          <w:rFonts w:cs="Calibri"/>
          <w:b/>
          <w:sz w:val="28"/>
          <w:szCs w:val="28"/>
        </w:rPr>
        <w:t xml:space="preserve"> </w:t>
      </w:r>
      <w:r w:rsidR="00631375">
        <w:rPr>
          <w:rFonts w:cs="Calibri"/>
          <w:b/>
          <w:sz w:val="28"/>
          <w:szCs w:val="28"/>
        </w:rPr>
        <w:t>Year</w:t>
      </w:r>
    </w:p>
    <w:p w:rsidR="00631375" w:rsidRDefault="00631375" w:rsidP="00D96DAC">
      <w:pPr>
        <w:spacing w:after="0"/>
        <w:rPr>
          <w:rFonts w:cs="Calibri"/>
          <w:sz w:val="24"/>
          <w:szCs w:val="24"/>
        </w:rPr>
      </w:pPr>
      <w:r>
        <w:rPr>
          <w:rFonts w:cs="Calibri"/>
          <w:sz w:val="24"/>
          <w:szCs w:val="24"/>
        </w:rPr>
        <w:t>The 2012 year started out with only a Center Manager employed.  Resource flight following was conducted in support of Sage Grouse monitoring and the first wildfire of the year was reported in January.  Recruitment of an Assistant Center Manager was occurring as well as training with the military’s Modular Aerial Firefighting (MAFF’s) aircraft based in Cheyenne. The new Assistant Center Manager arrived the 1</w:t>
      </w:r>
      <w:r w:rsidRPr="00631375">
        <w:rPr>
          <w:rFonts w:cs="Calibri"/>
          <w:sz w:val="24"/>
          <w:szCs w:val="24"/>
          <w:vertAlign w:val="superscript"/>
        </w:rPr>
        <w:t>st</w:t>
      </w:r>
      <w:r>
        <w:rPr>
          <w:rFonts w:cs="Calibri"/>
          <w:sz w:val="24"/>
          <w:szCs w:val="24"/>
        </w:rPr>
        <w:t xml:space="preserve"> week just </w:t>
      </w:r>
      <w:r w:rsidR="0044416A">
        <w:rPr>
          <w:rFonts w:cs="Calibri"/>
          <w:sz w:val="24"/>
          <w:szCs w:val="24"/>
        </w:rPr>
        <w:t xml:space="preserve">of March </w:t>
      </w:r>
      <w:r>
        <w:rPr>
          <w:rFonts w:cs="Calibri"/>
          <w:sz w:val="24"/>
          <w:szCs w:val="24"/>
        </w:rPr>
        <w:t xml:space="preserve">as </w:t>
      </w:r>
      <w:proofErr w:type="spellStart"/>
      <w:r>
        <w:rPr>
          <w:rFonts w:cs="Calibri"/>
          <w:sz w:val="24"/>
          <w:szCs w:val="24"/>
        </w:rPr>
        <w:t>wildland</w:t>
      </w:r>
      <w:proofErr w:type="spellEnd"/>
      <w:r>
        <w:rPr>
          <w:rFonts w:cs="Calibri"/>
          <w:sz w:val="24"/>
          <w:szCs w:val="24"/>
        </w:rPr>
        <w:t xml:space="preserve"> and prescribed fire activity started in the zone. </w:t>
      </w:r>
      <w:r w:rsidR="008A24BC">
        <w:rPr>
          <w:rFonts w:cs="Calibri"/>
          <w:sz w:val="24"/>
          <w:szCs w:val="24"/>
        </w:rPr>
        <w:t>Late March also saw the first of 74 Red Flag Warning days in 2012.</w:t>
      </w:r>
      <w:r>
        <w:rPr>
          <w:rFonts w:cs="Calibri"/>
          <w:sz w:val="24"/>
          <w:szCs w:val="24"/>
        </w:rPr>
        <w:t xml:space="preserve"> </w:t>
      </w:r>
    </w:p>
    <w:p w:rsidR="00D96DAC" w:rsidRDefault="00D96DAC" w:rsidP="00D96DAC">
      <w:pPr>
        <w:spacing w:after="0"/>
        <w:rPr>
          <w:rFonts w:cs="Calibri"/>
          <w:sz w:val="24"/>
          <w:szCs w:val="24"/>
        </w:rPr>
      </w:pPr>
    </w:p>
    <w:p w:rsidR="002E6AAD" w:rsidRDefault="002E6AAD" w:rsidP="00D96DAC">
      <w:pPr>
        <w:spacing w:after="0"/>
        <w:rPr>
          <w:rFonts w:cs="Calibri"/>
          <w:sz w:val="24"/>
          <w:szCs w:val="24"/>
        </w:rPr>
      </w:pPr>
      <w:r>
        <w:rPr>
          <w:rFonts w:cs="Calibri"/>
          <w:sz w:val="24"/>
          <w:szCs w:val="24"/>
        </w:rPr>
        <w:t>May</w:t>
      </w:r>
      <w:r w:rsidR="002760BF">
        <w:rPr>
          <w:rFonts w:cs="Calibri"/>
          <w:sz w:val="24"/>
          <w:szCs w:val="24"/>
        </w:rPr>
        <w:t xml:space="preserve"> </w:t>
      </w:r>
      <w:r>
        <w:rPr>
          <w:rFonts w:cs="Calibri"/>
          <w:sz w:val="24"/>
          <w:szCs w:val="24"/>
        </w:rPr>
        <w:t>21</w:t>
      </w:r>
      <w:r w:rsidRPr="002E6AAD">
        <w:rPr>
          <w:rFonts w:cs="Calibri"/>
          <w:sz w:val="24"/>
          <w:szCs w:val="24"/>
          <w:vertAlign w:val="superscript"/>
        </w:rPr>
        <w:t>st</w:t>
      </w:r>
      <w:r>
        <w:rPr>
          <w:rFonts w:cs="Calibri"/>
          <w:sz w:val="24"/>
          <w:szCs w:val="24"/>
        </w:rPr>
        <w:t xml:space="preserve"> was the start date for the seasonal firefighting resources. The IA dispatcher had given notice that she would be relocating in June and the Logistics dispatcher had taken a position in another state. RWC employed two seasonal dispatchers and one student (STEP) while the career-seasonal positions were being recruited. Eleven fires were reported during May, two of which occurred on the first day of seasonal employees’ employment.</w:t>
      </w:r>
      <w:r w:rsidR="002760BF">
        <w:rPr>
          <w:rFonts w:cs="Calibri"/>
          <w:sz w:val="24"/>
          <w:szCs w:val="24"/>
        </w:rPr>
        <w:t xml:space="preserve"> Additionally one prescribed fire for 20 acres was completed in the zone.</w:t>
      </w:r>
    </w:p>
    <w:p w:rsidR="00D96DAC" w:rsidRDefault="00D96DAC" w:rsidP="00D96DAC">
      <w:pPr>
        <w:spacing w:after="0"/>
        <w:rPr>
          <w:rFonts w:cs="Calibri"/>
          <w:sz w:val="24"/>
          <w:szCs w:val="24"/>
        </w:rPr>
      </w:pPr>
    </w:p>
    <w:p w:rsidR="00D96DAC" w:rsidRDefault="002760BF" w:rsidP="00D96DAC">
      <w:pPr>
        <w:spacing w:after="0"/>
        <w:rPr>
          <w:rFonts w:cs="Calibri"/>
          <w:sz w:val="24"/>
          <w:szCs w:val="24"/>
        </w:rPr>
      </w:pPr>
      <w:r>
        <w:rPr>
          <w:rFonts w:cs="Calibri"/>
          <w:sz w:val="24"/>
          <w:szCs w:val="24"/>
        </w:rPr>
        <w:t>June saw the departure of the IA dispatcher, the only dispatcher with multiple seasons of experience in the zone</w:t>
      </w:r>
      <w:r w:rsidR="00343316">
        <w:rPr>
          <w:rFonts w:cs="Calibri"/>
          <w:sz w:val="24"/>
          <w:szCs w:val="24"/>
        </w:rPr>
        <w:t>.  All a</w:t>
      </w:r>
      <w:r>
        <w:rPr>
          <w:rFonts w:cs="Calibri"/>
          <w:sz w:val="24"/>
          <w:szCs w:val="24"/>
        </w:rPr>
        <w:t>spects of the High Desert District’s fire program</w:t>
      </w:r>
      <w:r w:rsidR="00343316">
        <w:rPr>
          <w:rFonts w:cs="Calibri"/>
          <w:sz w:val="24"/>
          <w:szCs w:val="24"/>
        </w:rPr>
        <w:t>, including dispatch,</w:t>
      </w:r>
      <w:bookmarkStart w:id="0" w:name="_GoBack"/>
      <w:bookmarkEnd w:id="0"/>
      <w:r>
        <w:rPr>
          <w:rFonts w:cs="Calibri"/>
          <w:sz w:val="24"/>
          <w:szCs w:val="24"/>
        </w:rPr>
        <w:t xml:space="preserve"> participated in a BLM National Review.  A few well-known problems were </w:t>
      </w:r>
      <w:r>
        <w:rPr>
          <w:rFonts w:cs="Calibri"/>
          <w:sz w:val="24"/>
          <w:szCs w:val="24"/>
        </w:rPr>
        <w:lastRenderedPageBreak/>
        <w:t xml:space="preserve">documented by the National Review Team and a clear plan for resolving back-up power and radio issues was created. A mock fire was not conducted as part of the national review, as all resources were dispatched to an actual fire where members of the review team were able to observe and participate in actual firefighting operations. </w:t>
      </w:r>
      <w:r w:rsidR="00D96DAC">
        <w:rPr>
          <w:rFonts w:cs="Calibri"/>
          <w:sz w:val="24"/>
          <w:szCs w:val="24"/>
        </w:rPr>
        <w:t xml:space="preserve">Due to critical conditions in June, National Severity was requested and approved.  Engines, hand-crews and aviation assets were staged in the zone either through High Desert District or </w:t>
      </w:r>
      <w:r w:rsidR="00A24AA2">
        <w:rPr>
          <w:rFonts w:cs="Calibri"/>
          <w:sz w:val="24"/>
          <w:szCs w:val="24"/>
        </w:rPr>
        <w:t xml:space="preserve">Regional Severity funding. </w:t>
      </w:r>
      <w:r>
        <w:rPr>
          <w:rFonts w:cs="Calibri"/>
          <w:sz w:val="24"/>
          <w:szCs w:val="24"/>
        </w:rPr>
        <w:t>Thirty one fires were reported in June with large fires (</w:t>
      </w:r>
      <w:proofErr w:type="spellStart"/>
      <w:r>
        <w:rPr>
          <w:rFonts w:cs="Calibri"/>
          <w:sz w:val="24"/>
          <w:szCs w:val="24"/>
        </w:rPr>
        <w:t>Fontenelle</w:t>
      </w:r>
      <w:proofErr w:type="spellEnd"/>
      <w:r>
        <w:rPr>
          <w:rFonts w:cs="Calibri"/>
          <w:sz w:val="24"/>
          <w:szCs w:val="24"/>
        </w:rPr>
        <w:t xml:space="preserve">, Arapaho and Squirrel Creek) occurring at the end of June. </w:t>
      </w:r>
      <w:r w:rsidR="006012F1">
        <w:rPr>
          <w:rFonts w:cs="Calibri"/>
          <w:sz w:val="24"/>
          <w:szCs w:val="24"/>
        </w:rPr>
        <w:t xml:space="preserve"> </w:t>
      </w:r>
    </w:p>
    <w:p w:rsidR="00D96DAC" w:rsidRDefault="00D96DAC" w:rsidP="00D96DAC">
      <w:pPr>
        <w:spacing w:after="0"/>
        <w:rPr>
          <w:rFonts w:cs="Calibri"/>
          <w:sz w:val="24"/>
          <w:szCs w:val="24"/>
        </w:rPr>
      </w:pPr>
    </w:p>
    <w:p w:rsidR="00631375" w:rsidRDefault="006012F1" w:rsidP="00D96DAC">
      <w:pPr>
        <w:spacing w:after="0"/>
        <w:rPr>
          <w:rFonts w:cs="Calibri"/>
          <w:sz w:val="24"/>
          <w:szCs w:val="24"/>
        </w:rPr>
      </w:pPr>
      <w:r>
        <w:rPr>
          <w:rFonts w:cs="Calibri"/>
          <w:sz w:val="24"/>
          <w:szCs w:val="24"/>
        </w:rPr>
        <w:t>July started with a decision to have RWC manage the Squirrel Creek incident on behalf of the Medicine Bow National Forest. Casper dispatch was already managing multiple large incidents and the aviation and logistical needs of the Squirrel Creek fire were best handled by RWC, the closer dispatch center.  A T-1 IMT (</w:t>
      </w:r>
      <w:proofErr w:type="spellStart"/>
      <w:r>
        <w:rPr>
          <w:rFonts w:cs="Calibri"/>
          <w:sz w:val="24"/>
          <w:szCs w:val="24"/>
        </w:rPr>
        <w:t>Oplinger</w:t>
      </w:r>
      <w:proofErr w:type="spellEnd"/>
      <w:r>
        <w:rPr>
          <w:rFonts w:cs="Calibri"/>
          <w:sz w:val="24"/>
          <w:szCs w:val="24"/>
        </w:rPr>
        <w:t xml:space="preserve">) was ordered, an Expanded Dispatch was established and an Aircraft Dispatcher was tasked with supporting the Squirrel Creek incident. </w:t>
      </w:r>
      <w:r w:rsidR="00DD2DBB">
        <w:rPr>
          <w:rFonts w:cs="Calibri"/>
          <w:sz w:val="24"/>
          <w:szCs w:val="24"/>
        </w:rPr>
        <w:t xml:space="preserve">Forty-six fires were reported in July including two large fires; </w:t>
      </w:r>
      <w:r>
        <w:rPr>
          <w:rFonts w:cs="Calibri"/>
          <w:sz w:val="24"/>
          <w:szCs w:val="24"/>
        </w:rPr>
        <w:t xml:space="preserve">the </w:t>
      </w:r>
      <w:proofErr w:type="spellStart"/>
      <w:r>
        <w:rPr>
          <w:rFonts w:cs="Calibri"/>
          <w:sz w:val="24"/>
          <w:szCs w:val="24"/>
        </w:rPr>
        <w:t>Seminoe</w:t>
      </w:r>
      <w:proofErr w:type="spellEnd"/>
      <w:r>
        <w:rPr>
          <w:rFonts w:cs="Calibri"/>
          <w:sz w:val="24"/>
          <w:szCs w:val="24"/>
        </w:rPr>
        <w:t xml:space="preserve"> fire </w:t>
      </w:r>
      <w:r w:rsidR="00DD2DBB">
        <w:rPr>
          <w:rFonts w:cs="Calibri"/>
          <w:sz w:val="24"/>
          <w:szCs w:val="24"/>
        </w:rPr>
        <w:t>(July 21</w:t>
      </w:r>
      <w:r w:rsidR="00DD2DBB" w:rsidRPr="00DD2DBB">
        <w:rPr>
          <w:rFonts w:cs="Calibri"/>
          <w:sz w:val="24"/>
          <w:szCs w:val="24"/>
          <w:vertAlign w:val="superscript"/>
        </w:rPr>
        <w:t>st</w:t>
      </w:r>
      <w:r w:rsidR="00DD2DBB">
        <w:rPr>
          <w:rFonts w:cs="Calibri"/>
          <w:sz w:val="24"/>
          <w:szCs w:val="24"/>
        </w:rPr>
        <w:t>) and the Ferris fire (July 27</w:t>
      </w:r>
      <w:r w:rsidR="00DD2DBB" w:rsidRPr="00DD2DBB">
        <w:rPr>
          <w:rFonts w:cs="Calibri"/>
          <w:sz w:val="24"/>
          <w:szCs w:val="24"/>
          <w:vertAlign w:val="superscript"/>
        </w:rPr>
        <w:t>th</w:t>
      </w:r>
      <w:r w:rsidR="00DD2DBB">
        <w:rPr>
          <w:rFonts w:cs="Calibri"/>
          <w:sz w:val="24"/>
          <w:szCs w:val="24"/>
        </w:rPr>
        <w:t xml:space="preserve">). Type-3 IMT’s were brought in to manage these incidents, which were ultimately </w:t>
      </w:r>
      <w:proofErr w:type="spellStart"/>
      <w:r w:rsidR="00DD2DBB">
        <w:rPr>
          <w:rFonts w:cs="Calibri"/>
          <w:sz w:val="24"/>
          <w:szCs w:val="24"/>
        </w:rPr>
        <w:t>complexed</w:t>
      </w:r>
      <w:proofErr w:type="spellEnd"/>
      <w:r w:rsidR="00DD2DBB">
        <w:rPr>
          <w:rFonts w:cs="Calibri"/>
          <w:sz w:val="24"/>
          <w:szCs w:val="24"/>
        </w:rPr>
        <w:t xml:space="preserve"> allowing for one IMT to manage both incidents. Expanded Dispatch was activated for another 30 days between the two incidents.  </w:t>
      </w:r>
      <w:r w:rsidR="00D96DAC">
        <w:rPr>
          <w:rFonts w:cs="Calibri"/>
          <w:sz w:val="24"/>
          <w:szCs w:val="24"/>
        </w:rPr>
        <w:t>The Ferris fire was the first incident to successfully deploy the Very Large Air Tanker (VLAT) in Wyoming.</w:t>
      </w:r>
      <w:r w:rsidR="00A24AA2">
        <w:rPr>
          <w:rFonts w:cs="Calibri"/>
          <w:sz w:val="24"/>
          <w:szCs w:val="24"/>
        </w:rPr>
        <w:t xml:space="preserve"> Severity funding and resources continued through the month of July.</w:t>
      </w:r>
    </w:p>
    <w:p w:rsidR="00D96DAC" w:rsidRDefault="00D96DAC" w:rsidP="00D96DAC">
      <w:pPr>
        <w:spacing w:after="0"/>
        <w:rPr>
          <w:rFonts w:cs="Calibri"/>
          <w:sz w:val="24"/>
          <w:szCs w:val="24"/>
        </w:rPr>
      </w:pPr>
    </w:p>
    <w:p w:rsidR="00D96DAC" w:rsidRDefault="00D96DAC" w:rsidP="00D96DAC">
      <w:pPr>
        <w:spacing w:after="0"/>
        <w:rPr>
          <w:rFonts w:cs="Calibri"/>
          <w:sz w:val="24"/>
          <w:szCs w:val="24"/>
        </w:rPr>
      </w:pPr>
      <w:r>
        <w:rPr>
          <w:rFonts w:cs="Calibri"/>
          <w:sz w:val="24"/>
          <w:szCs w:val="24"/>
        </w:rPr>
        <w:t>August arrived with two large f</w:t>
      </w:r>
      <w:r w:rsidR="00A24AA2">
        <w:rPr>
          <w:rFonts w:cs="Calibri"/>
          <w:sz w:val="24"/>
          <w:szCs w:val="24"/>
        </w:rPr>
        <w:t xml:space="preserve">ires </w:t>
      </w:r>
      <w:r w:rsidR="008E5C7A">
        <w:rPr>
          <w:rFonts w:cs="Calibri"/>
          <w:sz w:val="24"/>
          <w:szCs w:val="24"/>
        </w:rPr>
        <w:t>(</w:t>
      </w:r>
      <w:proofErr w:type="spellStart"/>
      <w:r w:rsidR="008E5C7A">
        <w:rPr>
          <w:rFonts w:cs="Calibri"/>
          <w:sz w:val="24"/>
          <w:szCs w:val="24"/>
        </w:rPr>
        <w:t>Seminoe</w:t>
      </w:r>
      <w:proofErr w:type="spellEnd"/>
      <w:r w:rsidR="008E5C7A">
        <w:rPr>
          <w:rFonts w:cs="Calibri"/>
          <w:sz w:val="24"/>
          <w:szCs w:val="24"/>
        </w:rPr>
        <w:t xml:space="preserve"> &amp; Ferris) </w:t>
      </w:r>
      <w:r w:rsidR="00A24AA2">
        <w:rPr>
          <w:rFonts w:cs="Calibri"/>
          <w:sz w:val="24"/>
          <w:szCs w:val="24"/>
        </w:rPr>
        <w:t xml:space="preserve">being managed in the zone. </w:t>
      </w:r>
      <w:r>
        <w:rPr>
          <w:rFonts w:cs="Calibri"/>
          <w:sz w:val="24"/>
          <w:szCs w:val="24"/>
        </w:rPr>
        <w:t xml:space="preserve">The Center Manager departed suddenly </w:t>
      </w:r>
      <w:r w:rsidR="00A24AA2">
        <w:rPr>
          <w:rFonts w:cs="Calibri"/>
          <w:sz w:val="24"/>
          <w:szCs w:val="24"/>
        </w:rPr>
        <w:t>in Mid-August and the Assistant Center Manager assumed leadership on August 17</w:t>
      </w:r>
      <w:r w:rsidR="00A24AA2" w:rsidRPr="00A24AA2">
        <w:rPr>
          <w:rFonts w:cs="Calibri"/>
          <w:sz w:val="24"/>
          <w:szCs w:val="24"/>
          <w:vertAlign w:val="superscript"/>
        </w:rPr>
        <w:t>th</w:t>
      </w:r>
      <w:r w:rsidR="00A24AA2">
        <w:rPr>
          <w:rFonts w:cs="Calibri"/>
          <w:sz w:val="24"/>
          <w:szCs w:val="24"/>
        </w:rPr>
        <w:t>. One seasonal dispatcher left in August and attempts to fill the career seasonal IA and Logistics dispatcher positions were unsuccessful. Severity funding continued and several detailers extended their assignment or came back for second assignments in the center. Initial attack activity slowed with only 19 new fires reported in the month of August. However critical fire we</w:t>
      </w:r>
      <w:r w:rsidR="000A1A18">
        <w:rPr>
          <w:rFonts w:cs="Calibri"/>
          <w:sz w:val="24"/>
          <w:szCs w:val="24"/>
        </w:rPr>
        <w:t>ather conditions continued with 14</w:t>
      </w:r>
      <w:r w:rsidR="00A24AA2">
        <w:rPr>
          <w:rFonts w:cs="Calibri"/>
          <w:sz w:val="24"/>
          <w:szCs w:val="24"/>
        </w:rPr>
        <w:t xml:space="preserve"> of 31</w:t>
      </w:r>
      <w:r w:rsidR="000A1A18">
        <w:rPr>
          <w:rFonts w:cs="Calibri"/>
          <w:sz w:val="24"/>
          <w:szCs w:val="24"/>
        </w:rPr>
        <w:t xml:space="preserve"> days being identified as Red Flag days.</w:t>
      </w:r>
    </w:p>
    <w:p w:rsidR="008E5C7A" w:rsidRDefault="008E5C7A" w:rsidP="00D96DAC">
      <w:pPr>
        <w:spacing w:after="0"/>
        <w:rPr>
          <w:rFonts w:cs="Calibri"/>
          <w:sz w:val="24"/>
          <w:szCs w:val="24"/>
        </w:rPr>
      </w:pPr>
    </w:p>
    <w:p w:rsidR="00F8547F" w:rsidRDefault="008E5C7A" w:rsidP="00F8547F">
      <w:pPr>
        <w:spacing w:after="0"/>
        <w:rPr>
          <w:rFonts w:cs="Calibri"/>
          <w:sz w:val="24"/>
          <w:szCs w:val="24"/>
        </w:rPr>
      </w:pPr>
      <w:r>
        <w:rPr>
          <w:rFonts w:cs="Calibri"/>
          <w:sz w:val="24"/>
          <w:szCs w:val="24"/>
        </w:rPr>
        <w:t>Early September continued with critical fire weather conditions</w:t>
      </w:r>
      <w:r w:rsidR="00F8547F">
        <w:rPr>
          <w:rFonts w:cs="Calibri"/>
          <w:sz w:val="24"/>
          <w:szCs w:val="24"/>
        </w:rPr>
        <w:t>;</w:t>
      </w:r>
      <w:r>
        <w:rPr>
          <w:rFonts w:cs="Calibri"/>
          <w:sz w:val="24"/>
          <w:szCs w:val="24"/>
        </w:rPr>
        <w:t xml:space="preserve"> six of the first ten days met Red Flag criteria. Of the twenty-one new fires reported, only one exceeded 1,000 acres (Elk Butte). </w:t>
      </w:r>
      <w:r w:rsidR="00F8547F">
        <w:rPr>
          <w:rFonts w:cs="Calibri"/>
          <w:sz w:val="24"/>
          <w:szCs w:val="24"/>
        </w:rPr>
        <w:t>Severity funding and resources continued through the month.</w:t>
      </w:r>
    </w:p>
    <w:p w:rsidR="00F8547F" w:rsidRDefault="00F8547F" w:rsidP="00F8547F">
      <w:pPr>
        <w:spacing w:after="0"/>
        <w:rPr>
          <w:rFonts w:cs="Calibri"/>
          <w:sz w:val="24"/>
          <w:szCs w:val="24"/>
        </w:rPr>
      </w:pPr>
    </w:p>
    <w:p w:rsidR="00F8547F" w:rsidRDefault="00F8547F" w:rsidP="00F8547F">
      <w:pPr>
        <w:spacing w:after="0"/>
        <w:rPr>
          <w:rFonts w:cs="Calibri"/>
          <w:sz w:val="24"/>
          <w:szCs w:val="24"/>
        </w:rPr>
      </w:pPr>
      <w:r>
        <w:rPr>
          <w:rFonts w:cs="Calibri"/>
          <w:sz w:val="24"/>
          <w:szCs w:val="24"/>
        </w:rPr>
        <w:t>October saw a slowing of fire activity and critical fire weather conditions. Only six days in October met the Red Flag criteria.  Only three wildfires were reported in the month; the latest of which was on the 15</w:t>
      </w:r>
      <w:r w:rsidRPr="00F8547F">
        <w:rPr>
          <w:rFonts w:cs="Calibri"/>
          <w:sz w:val="24"/>
          <w:szCs w:val="24"/>
          <w:vertAlign w:val="superscript"/>
        </w:rPr>
        <w:t>th</w:t>
      </w:r>
      <w:r>
        <w:rPr>
          <w:rFonts w:cs="Calibri"/>
          <w:sz w:val="24"/>
          <w:szCs w:val="24"/>
        </w:rPr>
        <w:t xml:space="preserve"> of the month. Severity was ended, and seasonal employees were laid off on the 19</w:t>
      </w:r>
      <w:r w:rsidRPr="00F8547F">
        <w:rPr>
          <w:rFonts w:cs="Calibri"/>
          <w:sz w:val="24"/>
          <w:szCs w:val="24"/>
          <w:vertAlign w:val="superscript"/>
        </w:rPr>
        <w:t>th</w:t>
      </w:r>
      <w:r>
        <w:rPr>
          <w:rFonts w:cs="Calibri"/>
          <w:sz w:val="24"/>
          <w:szCs w:val="24"/>
        </w:rPr>
        <w:t xml:space="preserve"> of the month. Two fires in Colorado continued to burn and resources were sent </w:t>
      </w:r>
      <w:r>
        <w:rPr>
          <w:rFonts w:cs="Calibri"/>
          <w:sz w:val="24"/>
          <w:szCs w:val="24"/>
        </w:rPr>
        <w:lastRenderedPageBreak/>
        <w:t>to support those incidents. The Logistics Dispatcher position was filled and one seasonal firefighter was detailed into dispatch to maintain adequate staffing for the month.</w:t>
      </w:r>
    </w:p>
    <w:p w:rsidR="00F93098" w:rsidRDefault="00F93098" w:rsidP="00F8547F">
      <w:pPr>
        <w:spacing w:after="0"/>
        <w:rPr>
          <w:rFonts w:cs="Calibri"/>
          <w:sz w:val="24"/>
          <w:szCs w:val="24"/>
        </w:rPr>
      </w:pPr>
    </w:p>
    <w:p w:rsidR="00F93098" w:rsidRDefault="00F93098" w:rsidP="00F8547F">
      <w:pPr>
        <w:spacing w:after="0"/>
        <w:rPr>
          <w:rFonts w:cs="Calibri"/>
          <w:sz w:val="24"/>
          <w:szCs w:val="24"/>
        </w:rPr>
      </w:pPr>
      <w:r>
        <w:rPr>
          <w:rFonts w:cs="Calibri"/>
          <w:sz w:val="24"/>
          <w:szCs w:val="24"/>
        </w:rPr>
        <w:t>The seasonal firefighter ended his time in dispatch in November just before the arrival of the newly hired career-seasonal IA dispatcher. Both career-seasonal positions (IA &amp; Logistics) were filled with the Assistant Center Manager continuing as the Acting Center manager. Very few incidents occurred in November. A few resources were sent to Colorado in late November in support of an on-going fire there.  Three days of critical fire weather occurred during the month, but no new fires were reported.</w:t>
      </w:r>
    </w:p>
    <w:p w:rsidR="00A06F89" w:rsidRDefault="00A06F89" w:rsidP="00F8547F">
      <w:pPr>
        <w:spacing w:after="0"/>
        <w:rPr>
          <w:rFonts w:cs="Calibri"/>
          <w:sz w:val="24"/>
          <w:szCs w:val="24"/>
        </w:rPr>
      </w:pPr>
    </w:p>
    <w:p w:rsidR="00111805" w:rsidRDefault="00A06F89" w:rsidP="00D96DAC">
      <w:pPr>
        <w:spacing w:after="0"/>
        <w:rPr>
          <w:rFonts w:cs="Calibri"/>
          <w:b/>
          <w:sz w:val="28"/>
          <w:szCs w:val="28"/>
        </w:rPr>
      </w:pPr>
      <w:r>
        <w:rPr>
          <w:rFonts w:cs="Calibri"/>
          <w:sz w:val="24"/>
          <w:szCs w:val="24"/>
        </w:rPr>
        <w:t>Early December involved the continued support of incidents in Colorado. This included dispatching an IADP, engines and additional overhead to support their fire activity. All resources were back on their home unit by December 15</w:t>
      </w:r>
      <w:r w:rsidRPr="00A06F89">
        <w:rPr>
          <w:rFonts w:cs="Calibri"/>
          <w:sz w:val="24"/>
          <w:szCs w:val="24"/>
          <w:vertAlign w:val="superscript"/>
        </w:rPr>
        <w:t>th</w:t>
      </w:r>
      <w:r>
        <w:rPr>
          <w:rFonts w:cs="Calibri"/>
          <w:sz w:val="24"/>
          <w:szCs w:val="24"/>
        </w:rPr>
        <w:t xml:space="preserve">. The end of December involved the furlough of the career-seasonal Logistics dispatcher leaving the IA dispatcher and the Assistant Center Manager to manage the off-season workload. This workload is expected to include updating SOP’s and manuals, resource tracking, pile burning, flight following of resource flights and recruitment &amp; hiring for next fire season. </w:t>
      </w:r>
    </w:p>
    <w:p w:rsidR="00265B51" w:rsidRDefault="00265B51" w:rsidP="00265B51">
      <w:pPr>
        <w:rPr>
          <w:rFonts w:cs="Calibri"/>
          <w:b/>
          <w:sz w:val="28"/>
          <w:szCs w:val="28"/>
        </w:rPr>
      </w:pPr>
    </w:p>
    <w:p w:rsidR="00EA19C3" w:rsidRPr="00410BFC" w:rsidRDefault="00EA19C3" w:rsidP="00EA19C3">
      <w:pPr>
        <w:jc w:val="center"/>
        <w:rPr>
          <w:rFonts w:cs="Calibri"/>
          <w:b/>
          <w:sz w:val="28"/>
          <w:szCs w:val="28"/>
        </w:rPr>
      </w:pPr>
      <w:r w:rsidRPr="00410BFC">
        <w:rPr>
          <w:rFonts w:cs="Calibri"/>
          <w:b/>
          <w:sz w:val="28"/>
          <w:szCs w:val="28"/>
        </w:rPr>
        <w:t>Fire Activity</w:t>
      </w:r>
    </w:p>
    <w:p w:rsidR="00DD2DBB" w:rsidRDefault="00D96DAC" w:rsidP="00DD2DBB">
      <w:pPr>
        <w:rPr>
          <w:rFonts w:cs="Calibri"/>
          <w:b/>
          <w:sz w:val="28"/>
          <w:szCs w:val="28"/>
        </w:rPr>
      </w:pPr>
      <w:r w:rsidRPr="00410BFC">
        <w:rPr>
          <w:rFonts w:cs="Calibri"/>
          <w:sz w:val="24"/>
          <w:szCs w:val="24"/>
        </w:rPr>
        <w:t>The 201</w:t>
      </w:r>
      <w:r>
        <w:rPr>
          <w:rFonts w:cs="Calibri"/>
          <w:sz w:val="24"/>
          <w:szCs w:val="24"/>
        </w:rPr>
        <w:t>2</w:t>
      </w:r>
      <w:r w:rsidRPr="00410BFC">
        <w:rPr>
          <w:rFonts w:cs="Calibri"/>
          <w:sz w:val="24"/>
          <w:szCs w:val="24"/>
        </w:rPr>
        <w:t xml:space="preserve"> fire season started off </w:t>
      </w:r>
      <w:r>
        <w:rPr>
          <w:rFonts w:cs="Calibri"/>
          <w:sz w:val="24"/>
          <w:szCs w:val="24"/>
        </w:rPr>
        <w:t>quickly</w:t>
      </w:r>
      <w:r w:rsidRPr="00410BFC">
        <w:rPr>
          <w:rFonts w:cs="Calibri"/>
          <w:sz w:val="24"/>
          <w:szCs w:val="24"/>
        </w:rPr>
        <w:t>.  The first reported fire in the District was in Laramie County</w:t>
      </w:r>
      <w:r>
        <w:rPr>
          <w:rFonts w:cs="Calibri"/>
          <w:sz w:val="24"/>
          <w:szCs w:val="24"/>
        </w:rPr>
        <w:t xml:space="preserve"> on January 17th</w:t>
      </w:r>
      <w:r w:rsidRPr="00410BFC">
        <w:rPr>
          <w:rFonts w:cs="Calibri"/>
          <w:sz w:val="24"/>
          <w:szCs w:val="24"/>
        </w:rPr>
        <w:t xml:space="preserve">. </w:t>
      </w:r>
      <w:r>
        <w:rPr>
          <w:rFonts w:cs="Calibri"/>
          <w:sz w:val="24"/>
          <w:szCs w:val="24"/>
        </w:rPr>
        <w:t xml:space="preserve">Otto road was reported as approximately 700 acres of grassland </w:t>
      </w:r>
      <w:r w:rsidRPr="00410BFC">
        <w:rPr>
          <w:rFonts w:cs="Calibri"/>
          <w:sz w:val="24"/>
          <w:szCs w:val="24"/>
        </w:rPr>
        <w:t>on privately owned property and no BLM response was needed.</w:t>
      </w:r>
      <w:r>
        <w:rPr>
          <w:rFonts w:cs="Calibri"/>
          <w:sz w:val="24"/>
          <w:szCs w:val="24"/>
        </w:rPr>
        <w:t xml:space="preserve"> The first fire on BLM managed lands was the Tipton fire on March 16</w:t>
      </w:r>
      <w:r w:rsidRPr="00117EF8">
        <w:rPr>
          <w:rFonts w:cs="Calibri"/>
          <w:sz w:val="24"/>
          <w:szCs w:val="24"/>
          <w:vertAlign w:val="superscript"/>
        </w:rPr>
        <w:t>th</w:t>
      </w:r>
      <w:r>
        <w:rPr>
          <w:rFonts w:cs="Calibri"/>
          <w:sz w:val="24"/>
          <w:szCs w:val="24"/>
        </w:rPr>
        <w:t>. Between March 16 and March 31</w:t>
      </w:r>
      <w:r w:rsidRPr="00631375">
        <w:rPr>
          <w:rFonts w:cs="Calibri"/>
          <w:sz w:val="24"/>
          <w:szCs w:val="24"/>
          <w:vertAlign w:val="superscript"/>
        </w:rPr>
        <w:t>st</w:t>
      </w:r>
      <w:r>
        <w:rPr>
          <w:rFonts w:cs="Calibri"/>
          <w:sz w:val="24"/>
          <w:szCs w:val="24"/>
        </w:rPr>
        <w:t>, 8 fires were reported to RWC. March also saw the accomplishment of the Marking Pen Rx fire for 2,000 acres.</w:t>
      </w:r>
    </w:p>
    <w:p w:rsidR="00EA19C3" w:rsidRPr="00410BFC" w:rsidRDefault="00EA19C3" w:rsidP="00EA19C3">
      <w:pPr>
        <w:rPr>
          <w:rFonts w:cs="Calibri"/>
          <w:sz w:val="24"/>
          <w:szCs w:val="24"/>
        </w:rPr>
      </w:pPr>
      <w:r w:rsidRPr="00410BFC">
        <w:rPr>
          <w:rFonts w:cs="Calibri"/>
          <w:sz w:val="24"/>
          <w:szCs w:val="24"/>
        </w:rPr>
        <w:t>The 2</w:t>
      </w:r>
      <w:r w:rsidR="00EF3710">
        <w:rPr>
          <w:rFonts w:cs="Calibri"/>
          <w:sz w:val="24"/>
          <w:szCs w:val="24"/>
        </w:rPr>
        <w:t>01</w:t>
      </w:r>
      <w:r w:rsidR="00A06F89">
        <w:rPr>
          <w:rFonts w:cs="Calibri"/>
          <w:sz w:val="24"/>
          <w:szCs w:val="24"/>
        </w:rPr>
        <w:t>2</w:t>
      </w:r>
      <w:r w:rsidR="00EF3710">
        <w:rPr>
          <w:rFonts w:cs="Calibri"/>
          <w:sz w:val="24"/>
          <w:szCs w:val="24"/>
        </w:rPr>
        <w:t xml:space="preserve"> fire season consisted of 1</w:t>
      </w:r>
      <w:r w:rsidR="00981E68">
        <w:rPr>
          <w:rFonts w:cs="Calibri"/>
          <w:sz w:val="24"/>
          <w:szCs w:val="24"/>
        </w:rPr>
        <w:t>47</w:t>
      </w:r>
      <w:r w:rsidRPr="00410BFC">
        <w:rPr>
          <w:rFonts w:cs="Calibri"/>
          <w:sz w:val="24"/>
          <w:szCs w:val="24"/>
        </w:rPr>
        <w:t xml:space="preserve"> wildfires</w:t>
      </w:r>
      <w:r w:rsidR="00EF3710">
        <w:rPr>
          <w:rFonts w:cs="Calibri"/>
          <w:sz w:val="24"/>
          <w:szCs w:val="24"/>
        </w:rPr>
        <w:t xml:space="preserve"> for a total of </w:t>
      </w:r>
      <w:r w:rsidR="00981E68">
        <w:rPr>
          <w:rFonts w:cs="Calibri"/>
          <w:sz w:val="24"/>
          <w:szCs w:val="24"/>
        </w:rPr>
        <w:t>51,445.46</w:t>
      </w:r>
      <w:r w:rsidR="00B03381" w:rsidRPr="00410BFC">
        <w:rPr>
          <w:rFonts w:cs="Calibri"/>
          <w:sz w:val="24"/>
          <w:szCs w:val="24"/>
        </w:rPr>
        <w:t xml:space="preserve"> acres burned.</w:t>
      </w:r>
      <w:r w:rsidR="00A728A0" w:rsidRPr="00410BFC">
        <w:rPr>
          <w:rFonts w:cs="Calibri"/>
          <w:sz w:val="24"/>
          <w:szCs w:val="24"/>
        </w:rPr>
        <w:t xml:space="preserve"> This year’s total acres are </w:t>
      </w:r>
      <w:r w:rsidR="00981E68">
        <w:rPr>
          <w:rFonts w:cs="Calibri"/>
          <w:sz w:val="24"/>
          <w:szCs w:val="24"/>
        </w:rPr>
        <w:t xml:space="preserve">9.5 times </w:t>
      </w:r>
      <w:r w:rsidR="00A728A0" w:rsidRPr="00410BFC">
        <w:rPr>
          <w:rFonts w:cs="Calibri"/>
          <w:sz w:val="24"/>
          <w:szCs w:val="24"/>
        </w:rPr>
        <w:t>higher th</w:t>
      </w:r>
      <w:r w:rsidR="00EF3710">
        <w:rPr>
          <w:rFonts w:cs="Calibri"/>
          <w:sz w:val="24"/>
          <w:szCs w:val="24"/>
        </w:rPr>
        <w:t>an the 5 year average of 4093.73</w:t>
      </w:r>
      <w:r w:rsidR="00A728A0" w:rsidRPr="00410BFC">
        <w:rPr>
          <w:rFonts w:cs="Calibri"/>
          <w:sz w:val="24"/>
          <w:szCs w:val="24"/>
        </w:rPr>
        <w:t xml:space="preserve"> acres. This year’s total fires are </w:t>
      </w:r>
      <w:r w:rsidR="00981E68">
        <w:rPr>
          <w:rFonts w:cs="Calibri"/>
          <w:sz w:val="24"/>
          <w:szCs w:val="24"/>
        </w:rPr>
        <w:t>33%</w:t>
      </w:r>
      <w:r w:rsidR="00A728A0" w:rsidRPr="00410BFC">
        <w:rPr>
          <w:rFonts w:cs="Calibri"/>
          <w:sz w:val="24"/>
          <w:szCs w:val="24"/>
        </w:rPr>
        <w:t xml:space="preserve"> higher than the 5 year average of 110 fires per year.</w:t>
      </w:r>
      <w:r w:rsidR="00B03381" w:rsidRPr="00410BFC">
        <w:rPr>
          <w:rFonts w:cs="Calibri"/>
          <w:sz w:val="24"/>
          <w:szCs w:val="24"/>
        </w:rPr>
        <w:t xml:space="preserve"> </w:t>
      </w:r>
      <w:r w:rsidR="00A728A0" w:rsidRPr="00410BFC">
        <w:rPr>
          <w:rFonts w:cs="Calibri"/>
          <w:sz w:val="24"/>
          <w:szCs w:val="24"/>
        </w:rPr>
        <w:t>The breakdown of fires</w:t>
      </w:r>
      <w:r w:rsidR="00265B51">
        <w:rPr>
          <w:rFonts w:cs="Calibri"/>
          <w:sz w:val="24"/>
          <w:szCs w:val="24"/>
        </w:rPr>
        <w:t xml:space="preserve"> is as</w:t>
      </w:r>
      <w:r w:rsidR="00A728A0" w:rsidRPr="00410BFC">
        <w:rPr>
          <w:rFonts w:cs="Calibri"/>
          <w:sz w:val="24"/>
          <w:szCs w:val="24"/>
        </w:rPr>
        <w:t xml:space="preserve"> follows: </w:t>
      </w:r>
      <w:r w:rsidR="00981E68">
        <w:rPr>
          <w:rFonts w:cs="Calibri"/>
          <w:sz w:val="24"/>
          <w:szCs w:val="24"/>
        </w:rPr>
        <w:t>61</w:t>
      </w:r>
      <w:r w:rsidR="002361EF" w:rsidRPr="00410BFC">
        <w:rPr>
          <w:rFonts w:cs="Calibri"/>
          <w:sz w:val="24"/>
          <w:szCs w:val="24"/>
        </w:rPr>
        <w:t xml:space="preserve"> </w:t>
      </w:r>
      <w:r w:rsidR="00A728A0" w:rsidRPr="00410BFC">
        <w:rPr>
          <w:rFonts w:cs="Calibri"/>
          <w:sz w:val="24"/>
          <w:szCs w:val="24"/>
        </w:rPr>
        <w:t>lightning caused</w:t>
      </w:r>
      <w:r w:rsidR="002361EF" w:rsidRPr="00410BFC">
        <w:rPr>
          <w:rFonts w:cs="Calibri"/>
          <w:sz w:val="24"/>
          <w:szCs w:val="24"/>
        </w:rPr>
        <w:t xml:space="preserve"> for </w:t>
      </w:r>
      <w:r w:rsidR="00981E68">
        <w:rPr>
          <w:rFonts w:cs="Calibri"/>
          <w:sz w:val="24"/>
          <w:szCs w:val="24"/>
        </w:rPr>
        <w:t>34,770.94</w:t>
      </w:r>
      <w:r w:rsidR="002361EF" w:rsidRPr="00410BFC">
        <w:rPr>
          <w:rFonts w:cs="Calibri"/>
          <w:sz w:val="24"/>
          <w:szCs w:val="24"/>
        </w:rPr>
        <w:t xml:space="preserve"> acres</w:t>
      </w:r>
      <w:r w:rsidR="00265B51">
        <w:rPr>
          <w:rFonts w:cs="Calibri"/>
          <w:sz w:val="24"/>
          <w:szCs w:val="24"/>
        </w:rPr>
        <w:t xml:space="preserve"> and</w:t>
      </w:r>
      <w:r w:rsidR="00A728A0" w:rsidRPr="00410BFC">
        <w:rPr>
          <w:rFonts w:cs="Calibri"/>
          <w:sz w:val="24"/>
          <w:szCs w:val="24"/>
        </w:rPr>
        <w:t xml:space="preserve"> </w:t>
      </w:r>
      <w:r w:rsidR="00981E68">
        <w:rPr>
          <w:rFonts w:cs="Calibri"/>
          <w:sz w:val="24"/>
          <w:szCs w:val="24"/>
        </w:rPr>
        <w:t>86</w:t>
      </w:r>
      <w:r w:rsidR="00EF3710">
        <w:rPr>
          <w:rFonts w:cs="Calibri"/>
          <w:sz w:val="24"/>
          <w:szCs w:val="24"/>
        </w:rPr>
        <w:t xml:space="preserve"> human caused for </w:t>
      </w:r>
      <w:r w:rsidR="00981E68">
        <w:rPr>
          <w:rFonts w:cs="Calibri"/>
          <w:sz w:val="24"/>
          <w:szCs w:val="24"/>
        </w:rPr>
        <w:t>16,674.52</w:t>
      </w:r>
      <w:r w:rsidR="002361EF" w:rsidRPr="00410BFC">
        <w:rPr>
          <w:rFonts w:cs="Calibri"/>
          <w:sz w:val="24"/>
          <w:szCs w:val="24"/>
        </w:rPr>
        <w:t xml:space="preserve"> acres. The center had also received </w:t>
      </w:r>
      <w:r w:rsidR="00981E68">
        <w:rPr>
          <w:rFonts w:cs="Calibri"/>
          <w:sz w:val="24"/>
          <w:szCs w:val="24"/>
        </w:rPr>
        <w:t>98</w:t>
      </w:r>
      <w:r w:rsidR="002361EF" w:rsidRPr="00410BFC">
        <w:rPr>
          <w:rFonts w:cs="Calibri"/>
          <w:sz w:val="24"/>
          <w:szCs w:val="24"/>
        </w:rPr>
        <w:t xml:space="preserve"> smoke checks which were determined to be previously reported fire</w:t>
      </w:r>
      <w:r w:rsidR="00265B51">
        <w:rPr>
          <w:rFonts w:cs="Calibri"/>
          <w:sz w:val="24"/>
          <w:szCs w:val="24"/>
        </w:rPr>
        <w:t>s</w:t>
      </w:r>
      <w:r w:rsidR="002361EF" w:rsidRPr="00410BFC">
        <w:rPr>
          <w:rFonts w:cs="Calibri"/>
          <w:sz w:val="24"/>
          <w:szCs w:val="24"/>
        </w:rPr>
        <w:t>, adjacent centers, or false alarms.</w:t>
      </w:r>
    </w:p>
    <w:p w:rsidR="00B627E0" w:rsidRPr="00410BFC" w:rsidRDefault="00265B51" w:rsidP="00EA19C3">
      <w:pPr>
        <w:rPr>
          <w:rFonts w:cs="Calibri"/>
          <w:b/>
          <w:sz w:val="24"/>
          <w:szCs w:val="24"/>
        </w:rPr>
      </w:pPr>
      <w:r>
        <w:rPr>
          <w:rFonts w:cs="Calibri"/>
          <w:b/>
          <w:sz w:val="24"/>
          <w:szCs w:val="24"/>
        </w:rPr>
        <w:t>Notable Fires</w:t>
      </w:r>
      <w:r w:rsidR="00984BBA">
        <w:rPr>
          <w:rFonts w:cs="Calibri"/>
          <w:b/>
          <w:sz w:val="24"/>
          <w:szCs w:val="24"/>
        </w:rPr>
        <w:t>:</w:t>
      </w:r>
    </w:p>
    <w:p w:rsidR="00B627E0" w:rsidRPr="00410BFC" w:rsidRDefault="00984BBA" w:rsidP="00EA19C3">
      <w:pPr>
        <w:rPr>
          <w:rFonts w:cs="Calibri"/>
          <w:sz w:val="24"/>
          <w:szCs w:val="24"/>
        </w:rPr>
      </w:pPr>
      <w:r>
        <w:rPr>
          <w:rFonts w:cs="Calibri"/>
          <w:b/>
          <w:sz w:val="24"/>
          <w:szCs w:val="24"/>
        </w:rPr>
        <w:t>Otto Road</w:t>
      </w:r>
      <w:r w:rsidR="00B04DAD" w:rsidRPr="00410BFC">
        <w:rPr>
          <w:rFonts w:cs="Calibri"/>
          <w:sz w:val="24"/>
          <w:szCs w:val="24"/>
        </w:rPr>
        <w:t xml:space="preserve"> was reported on 0</w:t>
      </w:r>
      <w:r>
        <w:rPr>
          <w:rFonts w:cs="Calibri"/>
          <w:sz w:val="24"/>
          <w:szCs w:val="24"/>
        </w:rPr>
        <w:t>1</w:t>
      </w:r>
      <w:r w:rsidR="00B04DAD" w:rsidRPr="00410BFC">
        <w:rPr>
          <w:rFonts w:cs="Calibri"/>
          <w:sz w:val="24"/>
          <w:szCs w:val="24"/>
        </w:rPr>
        <w:t>/</w:t>
      </w:r>
      <w:r>
        <w:rPr>
          <w:rFonts w:cs="Calibri"/>
          <w:sz w:val="24"/>
          <w:szCs w:val="24"/>
        </w:rPr>
        <w:t>17</w:t>
      </w:r>
      <w:r w:rsidR="00B04DAD" w:rsidRPr="00410BFC">
        <w:rPr>
          <w:rFonts w:cs="Calibri"/>
          <w:sz w:val="24"/>
          <w:szCs w:val="24"/>
        </w:rPr>
        <w:t>/201</w:t>
      </w:r>
      <w:r>
        <w:rPr>
          <w:rFonts w:cs="Calibri"/>
          <w:sz w:val="24"/>
          <w:szCs w:val="24"/>
        </w:rPr>
        <w:t>2</w:t>
      </w:r>
      <w:r w:rsidR="00B04DAD" w:rsidRPr="00410BFC">
        <w:rPr>
          <w:rFonts w:cs="Calibri"/>
          <w:sz w:val="24"/>
          <w:szCs w:val="24"/>
        </w:rPr>
        <w:t xml:space="preserve"> in Laramie County.  </w:t>
      </w:r>
      <w:r>
        <w:rPr>
          <w:rFonts w:cs="Calibri"/>
          <w:sz w:val="24"/>
          <w:szCs w:val="24"/>
        </w:rPr>
        <w:t>It</w:t>
      </w:r>
      <w:r w:rsidR="00B04DAD" w:rsidRPr="00410BFC">
        <w:rPr>
          <w:rFonts w:cs="Calibri"/>
          <w:sz w:val="24"/>
          <w:szCs w:val="24"/>
        </w:rPr>
        <w:t xml:space="preserve"> burned 600 acres of grass </w:t>
      </w:r>
      <w:r>
        <w:rPr>
          <w:rFonts w:cs="Calibri"/>
          <w:sz w:val="24"/>
          <w:szCs w:val="24"/>
        </w:rPr>
        <w:t>east</w:t>
      </w:r>
      <w:r w:rsidR="00B04DAD" w:rsidRPr="00410BFC">
        <w:rPr>
          <w:rFonts w:cs="Calibri"/>
          <w:sz w:val="24"/>
          <w:szCs w:val="24"/>
        </w:rPr>
        <w:t xml:space="preserve"> of Cheyenne. All private land and there was </w:t>
      </w:r>
      <w:r>
        <w:rPr>
          <w:rFonts w:cs="Calibri"/>
          <w:sz w:val="24"/>
          <w:szCs w:val="24"/>
        </w:rPr>
        <w:t xml:space="preserve">no </w:t>
      </w:r>
      <w:r w:rsidR="00B04DAD" w:rsidRPr="00410BFC">
        <w:rPr>
          <w:rFonts w:cs="Calibri"/>
          <w:sz w:val="24"/>
          <w:szCs w:val="24"/>
        </w:rPr>
        <w:t>request for BLM assistance.</w:t>
      </w:r>
    </w:p>
    <w:p w:rsidR="00B04DAD" w:rsidRPr="00410BFC" w:rsidRDefault="00984BBA" w:rsidP="00EA19C3">
      <w:pPr>
        <w:rPr>
          <w:rFonts w:cs="Calibri"/>
          <w:sz w:val="24"/>
          <w:szCs w:val="24"/>
        </w:rPr>
      </w:pPr>
      <w:r>
        <w:rPr>
          <w:rFonts w:cs="Calibri"/>
          <w:b/>
          <w:sz w:val="24"/>
          <w:szCs w:val="24"/>
        </w:rPr>
        <w:lastRenderedPageBreak/>
        <w:t xml:space="preserve">Creston </w:t>
      </w:r>
      <w:r w:rsidR="00B04DAD" w:rsidRPr="00410BFC">
        <w:rPr>
          <w:rFonts w:cs="Calibri"/>
          <w:sz w:val="24"/>
          <w:szCs w:val="24"/>
        </w:rPr>
        <w:t>was reported on 05/</w:t>
      </w:r>
      <w:r w:rsidR="00D16265">
        <w:rPr>
          <w:rFonts w:cs="Calibri"/>
          <w:sz w:val="24"/>
          <w:szCs w:val="24"/>
        </w:rPr>
        <w:t>21</w:t>
      </w:r>
      <w:r w:rsidR="00B04DAD" w:rsidRPr="00410BFC">
        <w:rPr>
          <w:rFonts w:cs="Calibri"/>
          <w:sz w:val="24"/>
          <w:szCs w:val="24"/>
        </w:rPr>
        <w:t>/201</w:t>
      </w:r>
      <w:r w:rsidR="00D16265">
        <w:rPr>
          <w:rFonts w:cs="Calibri"/>
          <w:sz w:val="24"/>
          <w:szCs w:val="24"/>
        </w:rPr>
        <w:t>2</w:t>
      </w:r>
      <w:r w:rsidR="00B04DAD" w:rsidRPr="00410BFC">
        <w:rPr>
          <w:rFonts w:cs="Calibri"/>
          <w:sz w:val="24"/>
          <w:szCs w:val="24"/>
        </w:rPr>
        <w:t xml:space="preserve"> in </w:t>
      </w:r>
      <w:r w:rsidR="00D16265">
        <w:rPr>
          <w:rFonts w:cs="Calibri"/>
          <w:sz w:val="24"/>
          <w:szCs w:val="24"/>
        </w:rPr>
        <w:t>Sweetwater County</w:t>
      </w:r>
      <w:r w:rsidR="00B04DAD" w:rsidRPr="00410BFC">
        <w:rPr>
          <w:rFonts w:cs="Calibri"/>
          <w:sz w:val="24"/>
          <w:szCs w:val="24"/>
        </w:rPr>
        <w:t>. C</w:t>
      </w:r>
      <w:r w:rsidR="00D16265">
        <w:rPr>
          <w:rFonts w:cs="Calibri"/>
          <w:sz w:val="24"/>
          <w:szCs w:val="24"/>
        </w:rPr>
        <w:t xml:space="preserve">reston fire burned 323 acres of BLM and private property. Incident occurred on the first day of seasonal employee orientation. </w:t>
      </w:r>
    </w:p>
    <w:p w:rsidR="005902E5" w:rsidRDefault="005902E5" w:rsidP="00EA19C3">
      <w:pPr>
        <w:rPr>
          <w:rFonts w:cs="Calibri"/>
          <w:sz w:val="24"/>
          <w:szCs w:val="24"/>
        </w:rPr>
      </w:pPr>
      <w:proofErr w:type="spellStart"/>
      <w:r>
        <w:rPr>
          <w:rFonts w:cs="Calibri"/>
          <w:b/>
          <w:sz w:val="24"/>
          <w:szCs w:val="24"/>
        </w:rPr>
        <w:t>Fontenelle</w:t>
      </w:r>
      <w:proofErr w:type="spellEnd"/>
      <w:r w:rsidR="00B04DAD" w:rsidRPr="00410BFC">
        <w:rPr>
          <w:rFonts w:cs="Calibri"/>
          <w:sz w:val="24"/>
          <w:szCs w:val="24"/>
        </w:rPr>
        <w:t xml:space="preserve"> was reported on 06/</w:t>
      </w:r>
      <w:r>
        <w:rPr>
          <w:rFonts w:cs="Calibri"/>
          <w:sz w:val="24"/>
          <w:szCs w:val="24"/>
        </w:rPr>
        <w:t>24</w:t>
      </w:r>
      <w:r w:rsidR="00B04DAD" w:rsidRPr="00410BFC">
        <w:rPr>
          <w:rFonts w:cs="Calibri"/>
          <w:sz w:val="24"/>
          <w:szCs w:val="24"/>
        </w:rPr>
        <w:t>/201</w:t>
      </w:r>
      <w:r>
        <w:rPr>
          <w:rFonts w:cs="Calibri"/>
          <w:sz w:val="24"/>
          <w:szCs w:val="24"/>
        </w:rPr>
        <w:t>2</w:t>
      </w:r>
      <w:r w:rsidR="00B04DAD" w:rsidRPr="00410BFC">
        <w:rPr>
          <w:rFonts w:cs="Calibri"/>
          <w:sz w:val="24"/>
          <w:szCs w:val="24"/>
        </w:rPr>
        <w:t xml:space="preserve">. </w:t>
      </w:r>
      <w:r>
        <w:rPr>
          <w:rFonts w:cs="Calibri"/>
          <w:sz w:val="24"/>
          <w:szCs w:val="24"/>
        </w:rPr>
        <w:t xml:space="preserve">The lightning caused fire was </w:t>
      </w:r>
      <w:r w:rsidR="00B04DAD" w:rsidRPr="00410BFC">
        <w:rPr>
          <w:rFonts w:cs="Calibri"/>
          <w:sz w:val="24"/>
          <w:szCs w:val="24"/>
        </w:rPr>
        <w:t xml:space="preserve">reported </w:t>
      </w:r>
      <w:r>
        <w:rPr>
          <w:rFonts w:cs="Calibri"/>
          <w:sz w:val="24"/>
          <w:szCs w:val="24"/>
        </w:rPr>
        <w:t xml:space="preserve">by smokejumpers en route to Rawlins. Fire started on Bridger-Teton National Forest but quickly spread onto BLM managed lands. Fire threatened largest helium production facility in the United States.  Fire ultimately burned </w:t>
      </w:r>
      <w:proofErr w:type="gramStart"/>
      <w:r>
        <w:rPr>
          <w:rFonts w:cs="Calibri"/>
          <w:sz w:val="24"/>
          <w:szCs w:val="24"/>
        </w:rPr>
        <w:t>12,</w:t>
      </w:r>
      <w:proofErr w:type="gramEnd"/>
      <w:r>
        <w:rPr>
          <w:rFonts w:cs="Calibri"/>
          <w:sz w:val="24"/>
          <w:szCs w:val="24"/>
        </w:rPr>
        <w:t xml:space="preserve"> 392 acres of BLM managed lands. </w:t>
      </w:r>
    </w:p>
    <w:p w:rsidR="005902E5" w:rsidRDefault="005902E5" w:rsidP="00EA19C3">
      <w:pPr>
        <w:rPr>
          <w:rFonts w:cs="Calibri"/>
          <w:sz w:val="24"/>
          <w:szCs w:val="24"/>
        </w:rPr>
      </w:pPr>
      <w:r>
        <w:rPr>
          <w:rFonts w:cs="Calibri"/>
          <w:b/>
          <w:sz w:val="24"/>
          <w:szCs w:val="24"/>
        </w:rPr>
        <w:t>Arapahoe</w:t>
      </w:r>
      <w:r w:rsidR="00D212EB" w:rsidRPr="00410BFC">
        <w:rPr>
          <w:rFonts w:cs="Calibri"/>
          <w:sz w:val="24"/>
          <w:szCs w:val="24"/>
        </w:rPr>
        <w:t xml:space="preserve"> was reported on </w:t>
      </w:r>
      <w:r>
        <w:rPr>
          <w:rFonts w:cs="Calibri"/>
          <w:sz w:val="24"/>
          <w:szCs w:val="24"/>
        </w:rPr>
        <w:t xml:space="preserve">06/30/2012. Human caused fire started on Medicine Bow National Forest and spread south and east on BLM managed lands. Fire consumed primary core </w:t>
      </w:r>
      <w:proofErr w:type="spellStart"/>
      <w:r>
        <w:rPr>
          <w:rFonts w:cs="Calibri"/>
          <w:sz w:val="24"/>
          <w:szCs w:val="24"/>
        </w:rPr>
        <w:t>sagegrouse</w:t>
      </w:r>
      <w:proofErr w:type="spellEnd"/>
      <w:r>
        <w:rPr>
          <w:rFonts w:cs="Calibri"/>
          <w:sz w:val="24"/>
          <w:szCs w:val="24"/>
        </w:rPr>
        <w:t xml:space="preserve"> habitat and burned 8,475 acres of BLM managed lands.</w:t>
      </w:r>
    </w:p>
    <w:p w:rsidR="00D212EB" w:rsidRPr="00410BFC" w:rsidRDefault="005902E5" w:rsidP="00EA19C3">
      <w:pPr>
        <w:rPr>
          <w:rFonts w:cs="Calibri"/>
          <w:sz w:val="24"/>
          <w:szCs w:val="24"/>
        </w:rPr>
      </w:pPr>
      <w:r>
        <w:rPr>
          <w:rFonts w:cs="Calibri"/>
          <w:b/>
          <w:sz w:val="24"/>
          <w:szCs w:val="24"/>
        </w:rPr>
        <w:t>Squirrel Creek</w:t>
      </w:r>
      <w:r w:rsidR="00D212EB" w:rsidRPr="00410BFC">
        <w:rPr>
          <w:rFonts w:cs="Calibri"/>
          <w:b/>
          <w:sz w:val="24"/>
          <w:szCs w:val="24"/>
        </w:rPr>
        <w:t xml:space="preserve"> </w:t>
      </w:r>
      <w:r w:rsidR="00D212EB" w:rsidRPr="00410BFC">
        <w:rPr>
          <w:rFonts w:cs="Calibri"/>
          <w:sz w:val="24"/>
          <w:szCs w:val="24"/>
        </w:rPr>
        <w:t xml:space="preserve">was reported on </w:t>
      </w:r>
      <w:r>
        <w:rPr>
          <w:rFonts w:cs="Calibri"/>
          <w:sz w:val="24"/>
          <w:szCs w:val="24"/>
        </w:rPr>
        <w:t>06/30/2012</w:t>
      </w:r>
      <w:r w:rsidR="00D212EB" w:rsidRPr="00410BFC">
        <w:rPr>
          <w:rFonts w:cs="Calibri"/>
          <w:sz w:val="24"/>
          <w:szCs w:val="24"/>
        </w:rPr>
        <w:t xml:space="preserve"> in Carbon County. </w:t>
      </w:r>
      <w:r>
        <w:rPr>
          <w:rFonts w:cs="Calibri"/>
          <w:sz w:val="24"/>
          <w:szCs w:val="24"/>
        </w:rPr>
        <w:t>Human caused fire started on Medicine Bow National Forest</w:t>
      </w:r>
      <w:r w:rsidRPr="00410BFC">
        <w:rPr>
          <w:rFonts w:cs="Calibri"/>
          <w:sz w:val="24"/>
          <w:szCs w:val="24"/>
        </w:rPr>
        <w:t xml:space="preserve"> </w:t>
      </w:r>
      <w:r>
        <w:rPr>
          <w:rFonts w:cs="Calibri"/>
          <w:sz w:val="24"/>
          <w:szCs w:val="24"/>
        </w:rPr>
        <w:t>.Incident managed by Rawlins dispatch to support Casper Dispatch and the Medicine Bow National Forest</w:t>
      </w:r>
      <w:r w:rsidR="00214E16" w:rsidRPr="00410BFC">
        <w:rPr>
          <w:rFonts w:cs="Calibri"/>
          <w:sz w:val="24"/>
          <w:szCs w:val="24"/>
        </w:rPr>
        <w:t>.</w:t>
      </w:r>
      <w:r>
        <w:rPr>
          <w:rFonts w:cs="Calibri"/>
          <w:sz w:val="24"/>
          <w:szCs w:val="24"/>
        </w:rPr>
        <w:t xml:space="preserve"> Type-1 IMT and Type-1 Buying Team brought in to manage incident. Expan</w:t>
      </w:r>
      <w:r w:rsidR="00F15218">
        <w:rPr>
          <w:rFonts w:cs="Calibri"/>
          <w:sz w:val="24"/>
          <w:szCs w:val="24"/>
        </w:rPr>
        <w:t>ded Dispatch (6 dispatchers) completed 14 day detail in managing the incident. Aviation assets managed through RWC Aircraft desk.</w:t>
      </w:r>
    </w:p>
    <w:p w:rsidR="00F15218" w:rsidRDefault="00F15218" w:rsidP="00EA19C3">
      <w:pPr>
        <w:rPr>
          <w:rFonts w:cs="Calibri"/>
          <w:sz w:val="24"/>
          <w:szCs w:val="24"/>
        </w:rPr>
      </w:pPr>
      <w:proofErr w:type="spellStart"/>
      <w:r>
        <w:rPr>
          <w:rFonts w:cs="Calibri"/>
          <w:b/>
          <w:sz w:val="24"/>
          <w:szCs w:val="24"/>
        </w:rPr>
        <w:t>Seminoe</w:t>
      </w:r>
      <w:proofErr w:type="spellEnd"/>
      <w:r>
        <w:rPr>
          <w:rFonts w:cs="Calibri"/>
          <w:b/>
          <w:sz w:val="24"/>
          <w:szCs w:val="24"/>
        </w:rPr>
        <w:t xml:space="preserve"> </w:t>
      </w:r>
      <w:r w:rsidR="00214E16" w:rsidRPr="00410BFC">
        <w:rPr>
          <w:rFonts w:cs="Calibri"/>
          <w:sz w:val="24"/>
          <w:szCs w:val="24"/>
        </w:rPr>
        <w:t xml:space="preserve">was reported on </w:t>
      </w:r>
      <w:r>
        <w:rPr>
          <w:rFonts w:cs="Calibri"/>
          <w:sz w:val="24"/>
          <w:szCs w:val="24"/>
        </w:rPr>
        <w:t>7/21/2012</w:t>
      </w:r>
      <w:r w:rsidR="00214E16" w:rsidRPr="00410BFC">
        <w:rPr>
          <w:rFonts w:cs="Calibri"/>
          <w:sz w:val="24"/>
          <w:szCs w:val="24"/>
        </w:rPr>
        <w:t xml:space="preserve"> in </w:t>
      </w:r>
      <w:r>
        <w:rPr>
          <w:rFonts w:cs="Calibri"/>
          <w:sz w:val="24"/>
          <w:szCs w:val="24"/>
        </w:rPr>
        <w:t xml:space="preserve">Carbon </w:t>
      </w:r>
      <w:r w:rsidR="00214E16" w:rsidRPr="00410BFC">
        <w:rPr>
          <w:rFonts w:cs="Calibri"/>
          <w:sz w:val="24"/>
          <w:szCs w:val="24"/>
        </w:rPr>
        <w:t xml:space="preserve">County. </w:t>
      </w:r>
      <w:r>
        <w:rPr>
          <w:rFonts w:cs="Calibri"/>
          <w:sz w:val="24"/>
          <w:szCs w:val="24"/>
        </w:rPr>
        <w:t xml:space="preserve">Lightning caused fire. </w:t>
      </w:r>
      <w:proofErr w:type="gramStart"/>
      <w:r>
        <w:rPr>
          <w:rFonts w:cs="Calibri"/>
          <w:sz w:val="24"/>
          <w:szCs w:val="24"/>
        </w:rPr>
        <w:t xml:space="preserve">Threatened </w:t>
      </w:r>
      <w:proofErr w:type="spellStart"/>
      <w:r>
        <w:rPr>
          <w:rFonts w:cs="Calibri"/>
          <w:sz w:val="24"/>
          <w:szCs w:val="24"/>
        </w:rPr>
        <w:t>Seminoe</w:t>
      </w:r>
      <w:proofErr w:type="spellEnd"/>
      <w:r>
        <w:rPr>
          <w:rFonts w:cs="Calibri"/>
          <w:sz w:val="24"/>
          <w:szCs w:val="24"/>
        </w:rPr>
        <w:t xml:space="preserve"> dam and the power infrastructure to Sinclair refinery.</w:t>
      </w:r>
      <w:proofErr w:type="gramEnd"/>
      <w:r>
        <w:rPr>
          <w:rFonts w:cs="Calibri"/>
          <w:sz w:val="24"/>
          <w:szCs w:val="24"/>
        </w:rPr>
        <w:t xml:space="preserve"> Type-3 IMT brought in to manage incident which started on BLM and burned 3,813 acres. Expanded Dispatch (16 dispatchers in total) established for 30 days to manage this and Ferris incident (see below). Fire was later </w:t>
      </w:r>
      <w:proofErr w:type="spellStart"/>
      <w:r>
        <w:rPr>
          <w:rFonts w:cs="Calibri"/>
          <w:sz w:val="24"/>
          <w:szCs w:val="24"/>
        </w:rPr>
        <w:t>complexed</w:t>
      </w:r>
      <w:proofErr w:type="spellEnd"/>
      <w:r>
        <w:rPr>
          <w:rFonts w:cs="Calibri"/>
          <w:sz w:val="24"/>
          <w:szCs w:val="24"/>
        </w:rPr>
        <w:t xml:space="preserve"> with Ferris under one IMT.</w:t>
      </w:r>
    </w:p>
    <w:p w:rsidR="00AE42A8" w:rsidRDefault="00AE42A8" w:rsidP="00EA19C3">
      <w:pPr>
        <w:rPr>
          <w:rFonts w:cs="Calibri"/>
          <w:sz w:val="24"/>
          <w:szCs w:val="24"/>
        </w:rPr>
      </w:pPr>
      <w:r w:rsidRPr="00410BFC">
        <w:rPr>
          <w:rFonts w:cs="Calibri"/>
          <w:b/>
          <w:sz w:val="24"/>
          <w:szCs w:val="24"/>
        </w:rPr>
        <w:t xml:space="preserve">Ferris </w:t>
      </w:r>
      <w:r w:rsidRPr="00410BFC">
        <w:rPr>
          <w:rFonts w:cs="Calibri"/>
          <w:sz w:val="24"/>
          <w:szCs w:val="24"/>
        </w:rPr>
        <w:t xml:space="preserve">was reported on </w:t>
      </w:r>
      <w:r w:rsidR="00F15218">
        <w:rPr>
          <w:rFonts w:cs="Calibri"/>
          <w:sz w:val="24"/>
          <w:szCs w:val="24"/>
        </w:rPr>
        <w:t>07/27/2012</w:t>
      </w:r>
      <w:r w:rsidRPr="00410BFC">
        <w:rPr>
          <w:rFonts w:cs="Calibri"/>
          <w:sz w:val="24"/>
          <w:szCs w:val="24"/>
        </w:rPr>
        <w:t xml:space="preserve"> in Carbon County. </w:t>
      </w:r>
      <w:r w:rsidR="00F15218">
        <w:rPr>
          <w:rFonts w:cs="Calibri"/>
          <w:sz w:val="24"/>
          <w:szCs w:val="24"/>
        </w:rPr>
        <w:t xml:space="preserve">Lightning caused fire. Type-3 IMT brought in to manage incident which started on BLM land and burned 12,645 acres. First use of Very Large Air Tanker so support operations and manage incident. Expanded Dispatch went from </w:t>
      </w:r>
      <w:proofErr w:type="gramStart"/>
      <w:r w:rsidR="00F15218">
        <w:rPr>
          <w:rFonts w:cs="Calibri"/>
          <w:sz w:val="24"/>
          <w:szCs w:val="24"/>
        </w:rPr>
        <w:t xml:space="preserve">supporting  </w:t>
      </w:r>
      <w:proofErr w:type="spellStart"/>
      <w:r w:rsidR="00F15218">
        <w:rPr>
          <w:rFonts w:cs="Calibri"/>
          <w:sz w:val="24"/>
          <w:szCs w:val="24"/>
        </w:rPr>
        <w:t>Seminoe</w:t>
      </w:r>
      <w:proofErr w:type="spellEnd"/>
      <w:proofErr w:type="gramEnd"/>
      <w:r w:rsidR="00F15218">
        <w:rPr>
          <w:rFonts w:cs="Calibri"/>
          <w:sz w:val="24"/>
          <w:szCs w:val="24"/>
        </w:rPr>
        <w:t xml:space="preserve"> to supporting this incident as well. </w:t>
      </w:r>
    </w:p>
    <w:p w:rsidR="00111805" w:rsidRDefault="00111805" w:rsidP="00EA19C3">
      <w:pPr>
        <w:rPr>
          <w:rFonts w:cs="Calibri"/>
          <w:sz w:val="24"/>
          <w:szCs w:val="24"/>
        </w:rPr>
      </w:pPr>
    </w:p>
    <w:p w:rsidR="00111805" w:rsidRDefault="00111805" w:rsidP="00111805">
      <w:pPr>
        <w:jc w:val="center"/>
        <w:rPr>
          <w:rFonts w:cs="Calibri"/>
          <w:b/>
          <w:sz w:val="28"/>
          <w:szCs w:val="28"/>
        </w:rPr>
      </w:pPr>
      <w:r>
        <w:rPr>
          <w:rFonts w:cs="Calibri"/>
          <w:b/>
          <w:sz w:val="28"/>
          <w:szCs w:val="28"/>
        </w:rPr>
        <w:t>201</w:t>
      </w:r>
      <w:r w:rsidR="005902E5">
        <w:rPr>
          <w:rFonts w:cs="Calibri"/>
          <w:b/>
          <w:sz w:val="28"/>
          <w:szCs w:val="28"/>
        </w:rPr>
        <w:t>2</w:t>
      </w:r>
      <w:r>
        <w:rPr>
          <w:rFonts w:cs="Calibri"/>
          <w:b/>
          <w:sz w:val="28"/>
          <w:szCs w:val="28"/>
        </w:rPr>
        <w:t xml:space="preserve"> FIRE STATISTICS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383"/>
        <w:gridCol w:w="1188"/>
        <w:gridCol w:w="1167"/>
        <w:gridCol w:w="1188"/>
        <w:gridCol w:w="1257"/>
        <w:gridCol w:w="1257"/>
      </w:tblGrid>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UNIT</w:t>
            </w:r>
          </w:p>
        </w:tc>
        <w:tc>
          <w:tcPr>
            <w:tcW w:w="2574"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111805" w:rsidRPr="00317F31" w:rsidRDefault="00111805" w:rsidP="00317F31">
            <w:pPr>
              <w:jc w:val="center"/>
              <w:rPr>
                <w:rFonts w:cs="Calibri"/>
                <w:b/>
                <w:sz w:val="24"/>
                <w:szCs w:val="24"/>
              </w:rPr>
            </w:pPr>
            <w:r w:rsidRPr="00317F31">
              <w:rPr>
                <w:rFonts w:cs="Calibri"/>
                <w:b/>
                <w:sz w:val="24"/>
                <w:szCs w:val="24"/>
              </w:rPr>
              <w:t>HUMAN</w:t>
            </w:r>
          </w:p>
        </w:tc>
        <w:tc>
          <w:tcPr>
            <w:tcW w:w="2340"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111805" w:rsidRPr="00317F31" w:rsidRDefault="00111805" w:rsidP="00317F31">
            <w:pPr>
              <w:jc w:val="center"/>
              <w:rPr>
                <w:rFonts w:cs="Calibri"/>
                <w:b/>
                <w:sz w:val="24"/>
                <w:szCs w:val="24"/>
              </w:rPr>
            </w:pPr>
            <w:r w:rsidRPr="00317F31">
              <w:rPr>
                <w:rFonts w:cs="Calibri"/>
                <w:b/>
                <w:sz w:val="24"/>
                <w:szCs w:val="24"/>
              </w:rPr>
              <w:t>LIGHTNING</w:t>
            </w:r>
          </w:p>
        </w:tc>
        <w:tc>
          <w:tcPr>
            <w:tcW w:w="2520"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111805" w:rsidRPr="00317F31" w:rsidRDefault="00111805" w:rsidP="00317F31">
            <w:pPr>
              <w:jc w:val="center"/>
              <w:rPr>
                <w:rFonts w:cs="Calibri"/>
                <w:b/>
                <w:sz w:val="24"/>
                <w:szCs w:val="24"/>
              </w:rPr>
            </w:pPr>
            <w:r w:rsidRPr="00317F31">
              <w:rPr>
                <w:rFonts w:cs="Calibri"/>
                <w:b/>
                <w:sz w:val="24"/>
                <w:szCs w:val="24"/>
              </w:rPr>
              <w:t>PRESCRIBED</w:t>
            </w:r>
          </w:p>
        </w:tc>
      </w:tr>
      <w:tr w:rsidR="00111805" w:rsidRPr="00317F31" w:rsidTr="00265B51">
        <w:trPr>
          <w:trHeight w:val="300"/>
        </w:trPr>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bottom"/>
          </w:tcPr>
          <w:p w:rsidR="00111805" w:rsidRPr="00317F31" w:rsidRDefault="00111805" w:rsidP="00317F31">
            <w:pPr>
              <w:jc w:val="center"/>
              <w:rPr>
                <w:rFonts w:cs="Calibri"/>
                <w:b/>
                <w:sz w:val="24"/>
                <w:szCs w:val="24"/>
              </w:rPr>
            </w:pPr>
          </w:p>
        </w:tc>
        <w:tc>
          <w:tcPr>
            <w:tcW w:w="13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bottom"/>
          </w:tcPr>
          <w:p w:rsidR="00111805" w:rsidRPr="00317F31" w:rsidRDefault="00111805" w:rsidP="00317F31">
            <w:pPr>
              <w:jc w:val="center"/>
              <w:rPr>
                <w:rFonts w:cs="Calibri"/>
                <w:b/>
                <w:sz w:val="20"/>
                <w:szCs w:val="20"/>
              </w:rPr>
            </w:pPr>
            <w:r w:rsidRPr="00317F31">
              <w:rPr>
                <w:rFonts w:cs="Calibri"/>
                <w:b/>
                <w:sz w:val="20"/>
                <w:szCs w:val="20"/>
              </w:rPr>
              <w:t>FIRES</w:t>
            </w:r>
          </w:p>
        </w:tc>
        <w:tc>
          <w:tcPr>
            <w:tcW w:w="11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bottom"/>
          </w:tcPr>
          <w:p w:rsidR="00111805" w:rsidRPr="00317F31" w:rsidRDefault="00111805" w:rsidP="00317F31">
            <w:pPr>
              <w:jc w:val="center"/>
              <w:rPr>
                <w:rFonts w:cs="Calibri"/>
                <w:b/>
                <w:sz w:val="20"/>
                <w:szCs w:val="20"/>
              </w:rPr>
            </w:pPr>
            <w:r w:rsidRPr="00317F31">
              <w:rPr>
                <w:rFonts w:cs="Calibri"/>
                <w:b/>
                <w:sz w:val="20"/>
                <w:szCs w:val="20"/>
              </w:rPr>
              <w:t>ACRES</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bottom"/>
          </w:tcPr>
          <w:p w:rsidR="00111805" w:rsidRPr="00317F31" w:rsidRDefault="00111805" w:rsidP="00317F31">
            <w:pPr>
              <w:jc w:val="center"/>
              <w:rPr>
                <w:rFonts w:cs="Calibri"/>
                <w:b/>
                <w:sz w:val="20"/>
                <w:szCs w:val="20"/>
              </w:rPr>
            </w:pPr>
            <w:r w:rsidRPr="00317F31">
              <w:rPr>
                <w:rFonts w:cs="Calibri"/>
                <w:b/>
                <w:sz w:val="20"/>
                <w:szCs w:val="20"/>
              </w:rPr>
              <w:t>FIRES</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bottom"/>
          </w:tcPr>
          <w:p w:rsidR="00111805" w:rsidRPr="00317F31" w:rsidRDefault="00111805" w:rsidP="00317F31">
            <w:pPr>
              <w:jc w:val="center"/>
              <w:rPr>
                <w:rFonts w:cs="Calibri"/>
                <w:b/>
                <w:sz w:val="20"/>
                <w:szCs w:val="20"/>
              </w:rPr>
            </w:pPr>
            <w:r w:rsidRPr="00317F31">
              <w:rPr>
                <w:rFonts w:cs="Calibri"/>
                <w:b/>
                <w:sz w:val="20"/>
                <w:szCs w:val="20"/>
              </w:rPr>
              <w:t>ACRES</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bottom"/>
          </w:tcPr>
          <w:p w:rsidR="00111805" w:rsidRPr="00317F31" w:rsidRDefault="00111805" w:rsidP="00317F31">
            <w:pPr>
              <w:jc w:val="center"/>
              <w:rPr>
                <w:rFonts w:cs="Calibri"/>
                <w:b/>
                <w:sz w:val="20"/>
                <w:szCs w:val="20"/>
              </w:rPr>
            </w:pPr>
            <w:r w:rsidRPr="00317F31">
              <w:rPr>
                <w:rFonts w:cs="Calibri"/>
                <w:b/>
                <w:sz w:val="20"/>
                <w:szCs w:val="20"/>
              </w:rPr>
              <w:t>FIRES</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bottom"/>
          </w:tcPr>
          <w:p w:rsidR="00111805" w:rsidRPr="00317F31" w:rsidRDefault="00111805" w:rsidP="00317F31">
            <w:pPr>
              <w:jc w:val="center"/>
              <w:rPr>
                <w:rFonts w:cs="Calibri"/>
                <w:b/>
                <w:sz w:val="20"/>
                <w:szCs w:val="20"/>
              </w:rPr>
            </w:pPr>
            <w:r w:rsidRPr="00317F31">
              <w:rPr>
                <w:rFonts w:cs="Calibri"/>
                <w:b/>
                <w:sz w:val="20"/>
                <w:szCs w:val="20"/>
              </w:rPr>
              <w:t>ACRES</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High Desert District</w:t>
            </w:r>
          </w:p>
        </w:tc>
        <w:tc>
          <w:tcPr>
            <w:tcW w:w="1387" w:type="dxa"/>
            <w:tcBorders>
              <w:top w:val="dashDotStroked" w:sz="24" w:space="0" w:color="auto"/>
              <w:left w:val="dashDotStroked" w:sz="24" w:space="0" w:color="auto"/>
            </w:tcBorders>
            <w:shd w:val="clear" w:color="auto" w:fill="B8CCE4"/>
            <w:vAlign w:val="center"/>
          </w:tcPr>
          <w:p w:rsidR="00111805" w:rsidRPr="00317F31" w:rsidRDefault="00A8181A" w:rsidP="00F15218">
            <w:pPr>
              <w:jc w:val="center"/>
              <w:rPr>
                <w:rFonts w:cs="Calibri"/>
                <w:sz w:val="24"/>
                <w:szCs w:val="24"/>
              </w:rPr>
            </w:pPr>
            <w:r>
              <w:rPr>
                <w:rFonts w:cs="Calibri"/>
                <w:sz w:val="24"/>
                <w:szCs w:val="24"/>
              </w:rPr>
              <w:t>29</w:t>
            </w:r>
          </w:p>
        </w:tc>
        <w:tc>
          <w:tcPr>
            <w:tcW w:w="1187" w:type="dxa"/>
            <w:tcBorders>
              <w:top w:val="dashDotStroked" w:sz="24" w:space="0" w:color="auto"/>
            </w:tcBorders>
            <w:shd w:val="clear" w:color="auto" w:fill="B8CCE4"/>
            <w:vAlign w:val="center"/>
          </w:tcPr>
          <w:p w:rsidR="00111805" w:rsidRPr="00317F31" w:rsidRDefault="008936B7" w:rsidP="00317F31">
            <w:pPr>
              <w:jc w:val="center"/>
              <w:rPr>
                <w:rFonts w:cs="Calibri"/>
                <w:sz w:val="24"/>
                <w:szCs w:val="24"/>
              </w:rPr>
            </w:pPr>
            <w:r>
              <w:rPr>
                <w:rFonts w:cs="Calibri"/>
                <w:sz w:val="24"/>
                <w:szCs w:val="24"/>
              </w:rPr>
              <w:t>8862.52</w:t>
            </w:r>
          </w:p>
        </w:tc>
        <w:tc>
          <w:tcPr>
            <w:tcW w:w="1170" w:type="dxa"/>
            <w:tcBorders>
              <w:top w:val="dashDotStroked" w:sz="24" w:space="0" w:color="auto"/>
            </w:tcBorders>
            <w:shd w:val="clear" w:color="auto" w:fill="FFFF00"/>
            <w:vAlign w:val="center"/>
          </w:tcPr>
          <w:p w:rsidR="00111805" w:rsidRPr="00317F31" w:rsidRDefault="00A8181A" w:rsidP="00317F31">
            <w:pPr>
              <w:jc w:val="center"/>
              <w:rPr>
                <w:rFonts w:cs="Calibri"/>
                <w:sz w:val="24"/>
                <w:szCs w:val="24"/>
              </w:rPr>
            </w:pPr>
            <w:r>
              <w:rPr>
                <w:rFonts w:cs="Calibri"/>
                <w:sz w:val="24"/>
                <w:szCs w:val="24"/>
              </w:rPr>
              <w:t>35</w:t>
            </w:r>
          </w:p>
        </w:tc>
        <w:tc>
          <w:tcPr>
            <w:tcW w:w="1170" w:type="dxa"/>
            <w:tcBorders>
              <w:top w:val="dashDotStroked" w:sz="24" w:space="0" w:color="auto"/>
            </w:tcBorders>
            <w:shd w:val="clear" w:color="auto" w:fill="FFFF00"/>
            <w:vAlign w:val="center"/>
          </w:tcPr>
          <w:p w:rsidR="00111805" w:rsidRPr="00317F31" w:rsidRDefault="008936B7" w:rsidP="00317F31">
            <w:pPr>
              <w:jc w:val="center"/>
              <w:rPr>
                <w:rFonts w:cs="Calibri"/>
                <w:sz w:val="24"/>
                <w:szCs w:val="24"/>
              </w:rPr>
            </w:pPr>
            <w:r>
              <w:rPr>
                <w:rFonts w:cs="Calibri"/>
                <w:sz w:val="24"/>
                <w:szCs w:val="24"/>
              </w:rPr>
              <w:t>30,285.3</w:t>
            </w:r>
          </w:p>
        </w:tc>
        <w:tc>
          <w:tcPr>
            <w:tcW w:w="1260" w:type="dxa"/>
            <w:tcBorders>
              <w:top w:val="dashDotStroked" w:sz="24" w:space="0" w:color="auto"/>
            </w:tcBorders>
            <w:shd w:val="clear" w:color="auto" w:fill="92D050"/>
            <w:vAlign w:val="center"/>
          </w:tcPr>
          <w:p w:rsidR="00111805" w:rsidRPr="00317F31" w:rsidRDefault="00F15218" w:rsidP="00317F31">
            <w:pPr>
              <w:jc w:val="center"/>
              <w:rPr>
                <w:rFonts w:cs="Calibri"/>
                <w:sz w:val="24"/>
                <w:szCs w:val="24"/>
              </w:rPr>
            </w:pPr>
            <w:r>
              <w:rPr>
                <w:rFonts w:cs="Calibri"/>
                <w:sz w:val="24"/>
                <w:szCs w:val="24"/>
              </w:rPr>
              <w:t>3</w:t>
            </w:r>
          </w:p>
        </w:tc>
        <w:tc>
          <w:tcPr>
            <w:tcW w:w="1260" w:type="dxa"/>
            <w:tcBorders>
              <w:top w:val="dashDotStroked" w:sz="24" w:space="0" w:color="auto"/>
            </w:tcBorders>
            <w:shd w:val="clear" w:color="auto" w:fill="92D050"/>
            <w:vAlign w:val="center"/>
          </w:tcPr>
          <w:p w:rsidR="00111805" w:rsidRPr="00317F31" w:rsidRDefault="00F15218" w:rsidP="00317F31">
            <w:pPr>
              <w:jc w:val="center"/>
              <w:rPr>
                <w:rFonts w:cs="Calibri"/>
                <w:sz w:val="24"/>
                <w:szCs w:val="24"/>
              </w:rPr>
            </w:pPr>
            <w:r>
              <w:rPr>
                <w:rFonts w:cs="Calibri"/>
                <w:sz w:val="24"/>
                <w:szCs w:val="24"/>
              </w:rPr>
              <w:t>2,870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HDD Counties</w:t>
            </w:r>
          </w:p>
        </w:tc>
        <w:tc>
          <w:tcPr>
            <w:tcW w:w="1387" w:type="dxa"/>
            <w:tcBorders>
              <w:left w:val="dashDotStroked" w:sz="24" w:space="0" w:color="auto"/>
            </w:tcBorders>
            <w:shd w:val="clear" w:color="auto" w:fill="B8CCE4"/>
            <w:vAlign w:val="center"/>
          </w:tcPr>
          <w:p w:rsidR="00111805" w:rsidRPr="00317F31" w:rsidRDefault="00F15218" w:rsidP="00A8181A">
            <w:pPr>
              <w:jc w:val="center"/>
              <w:rPr>
                <w:rFonts w:cs="Calibri"/>
                <w:sz w:val="24"/>
                <w:szCs w:val="24"/>
              </w:rPr>
            </w:pPr>
            <w:r>
              <w:rPr>
                <w:rFonts w:cs="Calibri"/>
                <w:sz w:val="24"/>
                <w:szCs w:val="24"/>
              </w:rPr>
              <w:t>5</w:t>
            </w:r>
            <w:r w:rsidR="00A8181A">
              <w:rPr>
                <w:rFonts w:cs="Calibri"/>
                <w:sz w:val="24"/>
                <w:szCs w:val="24"/>
              </w:rPr>
              <w:t>3</w:t>
            </w:r>
          </w:p>
        </w:tc>
        <w:tc>
          <w:tcPr>
            <w:tcW w:w="1187" w:type="dxa"/>
            <w:shd w:val="clear" w:color="auto" w:fill="B8CCE4"/>
            <w:vAlign w:val="center"/>
          </w:tcPr>
          <w:p w:rsidR="00111805" w:rsidRPr="00317F31" w:rsidRDefault="000F5FA5" w:rsidP="00317F31">
            <w:pPr>
              <w:jc w:val="center"/>
              <w:rPr>
                <w:rFonts w:cs="Calibri"/>
                <w:sz w:val="24"/>
                <w:szCs w:val="24"/>
              </w:rPr>
            </w:pPr>
            <w:r>
              <w:rPr>
                <w:rFonts w:cs="Calibri"/>
                <w:sz w:val="24"/>
                <w:szCs w:val="24"/>
              </w:rPr>
              <w:t>2,532.1</w:t>
            </w:r>
          </w:p>
        </w:tc>
        <w:tc>
          <w:tcPr>
            <w:tcW w:w="1170" w:type="dxa"/>
            <w:shd w:val="clear" w:color="auto" w:fill="FFFF00"/>
            <w:vAlign w:val="center"/>
          </w:tcPr>
          <w:p w:rsidR="00111805" w:rsidRPr="00317F31" w:rsidRDefault="000F5FA5" w:rsidP="00A8181A">
            <w:pPr>
              <w:jc w:val="center"/>
              <w:rPr>
                <w:rFonts w:cs="Calibri"/>
                <w:sz w:val="24"/>
                <w:szCs w:val="24"/>
              </w:rPr>
            </w:pPr>
            <w:r>
              <w:rPr>
                <w:rFonts w:cs="Calibri"/>
                <w:sz w:val="24"/>
                <w:szCs w:val="24"/>
              </w:rPr>
              <w:t>2</w:t>
            </w:r>
            <w:r w:rsidR="00A8181A">
              <w:rPr>
                <w:rFonts w:cs="Calibri"/>
                <w:sz w:val="24"/>
                <w:szCs w:val="24"/>
              </w:rPr>
              <w:t>7</w:t>
            </w:r>
          </w:p>
        </w:tc>
        <w:tc>
          <w:tcPr>
            <w:tcW w:w="1170" w:type="dxa"/>
            <w:shd w:val="clear" w:color="auto" w:fill="FFFF00"/>
            <w:vAlign w:val="center"/>
          </w:tcPr>
          <w:p w:rsidR="00111805" w:rsidRPr="00317F31" w:rsidRDefault="000F5FA5" w:rsidP="00317F31">
            <w:pPr>
              <w:jc w:val="center"/>
              <w:rPr>
                <w:rFonts w:cs="Calibri"/>
                <w:sz w:val="24"/>
                <w:szCs w:val="24"/>
              </w:rPr>
            </w:pPr>
            <w:r>
              <w:rPr>
                <w:rFonts w:cs="Calibri"/>
                <w:sz w:val="24"/>
                <w:szCs w:val="24"/>
              </w:rPr>
              <w:t>3,636.84</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0F5FA5" w:rsidP="00317F31">
            <w:pPr>
              <w:jc w:val="center"/>
              <w:rPr>
                <w:rFonts w:cs="Calibri"/>
                <w:b/>
                <w:sz w:val="24"/>
                <w:szCs w:val="24"/>
              </w:rPr>
            </w:pPr>
            <w:r>
              <w:rPr>
                <w:rFonts w:cs="Calibri"/>
                <w:b/>
                <w:sz w:val="24"/>
                <w:szCs w:val="24"/>
              </w:rPr>
              <w:lastRenderedPageBreak/>
              <w:t>Mortensen Lake NWR</w:t>
            </w:r>
          </w:p>
        </w:tc>
        <w:tc>
          <w:tcPr>
            <w:tcW w:w="1387" w:type="dxa"/>
            <w:tcBorders>
              <w:left w:val="dashDotStroked" w:sz="24" w:space="0" w:color="auto"/>
            </w:tcBorders>
            <w:shd w:val="clear" w:color="auto" w:fill="B8CCE4"/>
            <w:vAlign w:val="center"/>
          </w:tcPr>
          <w:p w:rsidR="00111805" w:rsidRPr="00317F31" w:rsidRDefault="000F5FA5" w:rsidP="00317F31">
            <w:pPr>
              <w:jc w:val="center"/>
              <w:rPr>
                <w:rFonts w:cs="Calibri"/>
                <w:sz w:val="24"/>
                <w:szCs w:val="24"/>
              </w:rPr>
            </w:pPr>
            <w:r>
              <w:rPr>
                <w:rFonts w:cs="Calibri"/>
                <w:sz w:val="24"/>
                <w:szCs w:val="24"/>
              </w:rPr>
              <w:t>0</w:t>
            </w:r>
          </w:p>
        </w:tc>
        <w:tc>
          <w:tcPr>
            <w:tcW w:w="1187" w:type="dxa"/>
            <w:shd w:val="clear" w:color="auto" w:fill="B8CCE4"/>
            <w:vAlign w:val="center"/>
          </w:tcPr>
          <w:p w:rsidR="00111805" w:rsidRPr="00317F31" w:rsidRDefault="000F5FA5" w:rsidP="00317F31">
            <w:pPr>
              <w:jc w:val="center"/>
              <w:rPr>
                <w:rFonts w:cs="Calibri"/>
                <w:sz w:val="24"/>
                <w:szCs w:val="24"/>
              </w:rPr>
            </w:pPr>
            <w:r>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0F5FA5" w:rsidP="00317F31">
            <w:pPr>
              <w:jc w:val="center"/>
              <w:rPr>
                <w:rFonts w:cs="Calibri"/>
                <w:sz w:val="24"/>
                <w:szCs w:val="24"/>
              </w:rPr>
            </w:pPr>
            <w:r>
              <w:rPr>
                <w:rFonts w:cs="Calibri"/>
                <w:sz w:val="24"/>
                <w:szCs w:val="24"/>
              </w:rPr>
              <w:t>1</w:t>
            </w:r>
          </w:p>
        </w:tc>
        <w:tc>
          <w:tcPr>
            <w:tcW w:w="1260" w:type="dxa"/>
            <w:shd w:val="clear" w:color="auto" w:fill="92D050"/>
            <w:vAlign w:val="center"/>
          </w:tcPr>
          <w:p w:rsidR="00111805" w:rsidRPr="00317F31" w:rsidRDefault="000F5FA5" w:rsidP="00317F31">
            <w:pPr>
              <w:jc w:val="center"/>
              <w:rPr>
                <w:rFonts w:cs="Calibri"/>
                <w:sz w:val="24"/>
                <w:szCs w:val="24"/>
              </w:rPr>
            </w:pPr>
            <w:r>
              <w:rPr>
                <w:rFonts w:cs="Calibri"/>
                <w:sz w:val="24"/>
                <w:szCs w:val="24"/>
              </w:rPr>
              <w:t>20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Fossil Butte</w:t>
            </w:r>
          </w:p>
        </w:tc>
        <w:tc>
          <w:tcPr>
            <w:tcW w:w="1387" w:type="dxa"/>
            <w:tcBorders>
              <w:left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87" w:type="dxa"/>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proofErr w:type="spellStart"/>
            <w:r w:rsidRPr="00317F31">
              <w:rPr>
                <w:rFonts w:cs="Calibri"/>
                <w:b/>
                <w:sz w:val="24"/>
                <w:szCs w:val="24"/>
              </w:rPr>
              <w:t>Cokeville</w:t>
            </w:r>
            <w:proofErr w:type="spellEnd"/>
          </w:p>
        </w:tc>
        <w:tc>
          <w:tcPr>
            <w:tcW w:w="1387" w:type="dxa"/>
            <w:tcBorders>
              <w:left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87" w:type="dxa"/>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Wyoming State Forestry</w:t>
            </w:r>
          </w:p>
        </w:tc>
        <w:tc>
          <w:tcPr>
            <w:tcW w:w="1387" w:type="dxa"/>
            <w:tcBorders>
              <w:left w:val="dashDotStroked" w:sz="24" w:space="0" w:color="auto"/>
              <w:bottom w:val="dashDotStroked" w:sz="24" w:space="0" w:color="auto"/>
            </w:tcBorders>
            <w:shd w:val="clear" w:color="auto" w:fill="B8CCE4"/>
            <w:vAlign w:val="center"/>
          </w:tcPr>
          <w:p w:rsidR="00111805" w:rsidRPr="00317F31" w:rsidRDefault="000F5FA5" w:rsidP="00317F31">
            <w:pPr>
              <w:jc w:val="center"/>
              <w:rPr>
                <w:rFonts w:cs="Calibri"/>
                <w:sz w:val="24"/>
                <w:szCs w:val="24"/>
              </w:rPr>
            </w:pPr>
            <w:r>
              <w:rPr>
                <w:rFonts w:cs="Calibri"/>
                <w:sz w:val="24"/>
                <w:szCs w:val="24"/>
              </w:rPr>
              <w:t>3</w:t>
            </w:r>
          </w:p>
        </w:tc>
        <w:tc>
          <w:tcPr>
            <w:tcW w:w="1187" w:type="dxa"/>
            <w:tcBorders>
              <w:bottom w:val="dashDotStroked" w:sz="24" w:space="0" w:color="auto"/>
            </w:tcBorders>
            <w:shd w:val="clear" w:color="auto" w:fill="B8CCE4"/>
            <w:vAlign w:val="center"/>
          </w:tcPr>
          <w:p w:rsidR="00111805" w:rsidRPr="00317F31" w:rsidRDefault="00A8181A" w:rsidP="00317F31">
            <w:pPr>
              <w:jc w:val="center"/>
              <w:rPr>
                <w:rFonts w:cs="Calibri"/>
                <w:sz w:val="24"/>
                <w:szCs w:val="24"/>
              </w:rPr>
            </w:pPr>
            <w:r>
              <w:rPr>
                <w:rFonts w:cs="Calibri"/>
                <w:sz w:val="24"/>
                <w:szCs w:val="24"/>
              </w:rPr>
              <w:t>5,297.9</w:t>
            </w:r>
          </w:p>
        </w:tc>
        <w:tc>
          <w:tcPr>
            <w:tcW w:w="1170" w:type="dxa"/>
            <w:tcBorders>
              <w:bottom w:val="dashDotStroked" w:sz="24" w:space="0" w:color="auto"/>
            </w:tcBorders>
            <w:shd w:val="clear" w:color="auto" w:fill="FFFF00"/>
            <w:vAlign w:val="center"/>
          </w:tcPr>
          <w:p w:rsidR="00111805" w:rsidRPr="00317F31" w:rsidRDefault="00A8181A" w:rsidP="00317F31">
            <w:pPr>
              <w:jc w:val="center"/>
              <w:rPr>
                <w:rFonts w:cs="Calibri"/>
                <w:sz w:val="24"/>
                <w:szCs w:val="24"/>
              </w:rPr>
            </w:pPr>
            <w:r>
              <w:rPr>
                <w:rFonts w:cs="Calibri"/>
                <w:sz w:val="24"/>
                <w:szCs w:val="24"/>
              </w:rPr>
              <w:t>3</w:t>
            </w:r>
          </w:p>
        </w:tc>
        <w:tc>
          <w:tcPr>
            <w:tcW w:w="1170" w:type="dxa"/>
            <w:tcBorders>
              <w:bottom w:val="dashDotStroked" w:sz="24" w:space="0" w:color="auto"/>
            </w:tcBorders>
            <w:shd w:val="clear" w:color="auto" w:fill="FFFF00"/>
            <w:vAlign w:val="center"/>
          </w:tcPr>
          <w:p w:rsidR="00111805" w:rsidRPr="00317F31" w:rsidRDefault="00A8181A" w:rsidP="00317F31">
            <w:pPr>
              <w:jc w:val="center"/>
              <w:rPr>
                <w:rFonts w:cs="Calibri"/>
                <w:sz w:val="24"/>
                <w:szCs w:val="24"/>
              </w:rPr>
            </w:pPr>
            <w:r>
              <w:rPr>
                <w:rFonts w:cs="Calibri"/>
                <w:sz w:val="24"/>
                <w:szCs w:val="24"/>
              </w:rPr>
              <w:t>848.8</w:t>
            </w:r>
          </w:p>
        </w:tc>
        <w:tc>
          <w:tcPr>
            <w:tcW w:w="1260" w:type="dxa"/>
            <w:tcBorders>
              <w:bottom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tcBorders>
              <w:bottom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TOTALS</w:t>
            </w:r>
          </w:p>
        </w:tc>
        <w:tc>
          <w:tcPr>
            <w:tcW w:w="13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111805" w:rsidRPr="00317F31" w:rsidRDefault="00A8181A" w:rsidP="00A8181A">
            <w:pPr>
              <w:jc w:val="center"/>
              <w:rPr>
                <w:rFonts w:cs="Calibri"/>
                <w:sz w:val="24"/>
                <w:szCs w:val="24"/>
              </w:rPr>
            </w:pPr>
            <w:r>
              <w:rPr>
                <w:rFonts w:cs="Calibri"/>
                <w:sz w:val="24"/>
                <w:szCs w:val="24"/>
              </w:rPr>
              <w:t>85</w:t>
            </w:r>
          </w:p>
        </w:tc>
        <w:tc>
          <w:tcPr>
            <w:tcW w:w="11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111805" w:rsidRPr="00317F31" w:rsidRDefault="008936B7" w:rsidP="008936B7">
            <w:pPr>
              <w:jc w:val="center"/>
              <w:rPr>
                <w:rFonts w:cs="Calibri"/>
                <w:sz w:val="24"/>
                <w:szCs w:val="24"/>
              </w:rPr>
            </w:pPr>
            <w:r>
              <w:rPr>
                <w:rFonts w:cs="Calibri"/>
                <w:sz w:val="24"/>
                <w:szCs w:val="24"/>
              </w:rPr>
              <w:t>16,692.52</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111805" w:rsidRPr="00317F31" w:rsidRDefault="00A8181A" w:rsidP="00317F31">
            <w:pPr>
              <w:jc w:val="center"/>
              <w:rPr>
                <w:rFonts w:cs="Calibri"/>
                <w:sz w:val="24"/>
                <w:szCs w:val="24"/>
              </w:rPr>
            </w:pPr>
            <w:r>
              <w:rPr>
                <w:rFonts w:cs="Calibri"/>
                <w:sz w:val="24"/>
                <w:szCs w:val="24"/>
              </w:rPr>
              <w:t>62</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111805" w:rsidRPr="00317F31" w:rsidRDefault="008936B7" w:rsidP="00317F31">
            <w:pPr>
              <w:jc w:val="center"/>
              <w:rPr>
                <w:rFonts w:cs="Calibri"/>
                <w:sz w:val="24"/>
                <w:szCs w:val="24"/>
              </w:rPr>
            </w:pPr>
            <w:r>
              <w:rPr>
                <w:rFonts w:cs="Calibri"/>
                <w:sz w:val="24"/>
                <w:szCs w:val="24"/>
              </w:rPr>
              <w:t>34,770.94</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111805" w:rsidRPr="00317F31" w:rsidRDefault="00B5607F" w:rsidP="00317F31">
            <w:pPr>
              <w:jc w:val="center"/>
              <w:rPr>
                <w:rFonts w:cs="Calibri"/>
                <w:sz w:val="24"/>
                <w:szCs w:val="24"/>
              </w:rPr>
            </w:pPr>
            <w:r>
              <w:rPr>
                <w:rFonts w:cs="Calibri"/>
                <w:sz w:val="24"/>
                <w:szCs w:val="24"/>
              </w:rPr>
              <w:t>3</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111805" w:rsidRPr="00317F31" w:rsidRDefault="00B5607F" w:rsidP="00317F31">
            <w:pPr>
              <w:jc w:val="center"/>
              <w:rPr>
                <w:rFonts w:cs="Calibri"/>
                <w:sz w:val="24"/>
                <w:szCs w:val="24"/>
              </w:rPr>
            </w:pPr>
            <w:r>
              <w:rPr>
                <w:rFonts w:cs="Calibri"/>
                <w:sz w:val="24"/>
                <w:szCs w:val="24"/>
              </w:rPr>
              <w:t>2,890</w:t>
            </w:r>
          </w:p>
        </w:tc>
      </w:tr>
      <w:tr w:rsidR="000D31DA"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0D31DA" w:rsidRPr="00317F31" w:rsidRDefault="000D31DA" w:rsidP="00317F31">
            <w:pPr>
              <w:jc w:val="center"/>
              <w:rPr>
                <w:rFonts w:cs="Calibri"/>
                <w:b/>
                <w:color w:val="FF0000"/>
                <w:sz w:val="24"/>
                <w:szCs w:val="24"/>
              </w:rPr>
            </w:pPr>
            <w:r w:rsidRPr="00317F31">
              <w:rPr>
                <w:rFonts w:cs="Calibri"/>
                <w:b/>
                <w:color w:val="FF0000"/>
                <w:sz w:val="24"/>
                <w:szCs w:val="24"/>
              </w:rPr>
              <w:t>5 YEAR AVERAGE</w:t>
            </w:r>
          </w:p>
        </w:tc>
        <w:tc>
          <w:tcPr>
            <w:tcW w:w="13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57.6</w:t>
            </w:r>
          </w:p>
        </w:tc>
        <w:tc>
          <w:tcPr>
            <w:tcW w:w="11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0D31DA" w:rsidRPr="00317F31" w:rsidRDefault="00A9726C" w:rsidP="00317F31">
            <w:pPr>
              <w:jc w:val="center"/>
              <w:rPr>
                <w:rFonts w:cs="Calibri"/>
                <w:color w:val="FF0000"/>
                <w:sz w:val="24"/>
                <w:szCs w:val="24"/>
              </w:rPr>
            </w:pPr>
            <w:r w:rsidRPr="00317F31">
              <w:rPr>
                <w:rFonts w:cs="Calibri"/>
                <w:color w:val="FF0000"/>
                <w:sz w:val="24"/>
                <w:szCs w:val="24"/>
              </w:rPr>
              <w:t>1719.46</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52.8</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2374.27</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N/A</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N/A</w:t>
            </w:r>
          </w:p>
        </w:tc>
      </w:tr>
    </w:tbl>
    <w:p w:rsidR="007B5D16" w:rsidRDefault="000D31DA" w:rsidP="007B5D16">
      <w:pPr>
        <w:jc w:val="center"/>
        <w:rPr>
          <w:rFonts w:cs="Calibri"/>
          <w:sz w:val="24"/>
          <w:szCs w:val="24"/>
        </w:rPr>
      </w:pPr>
      <w:r>
        <w:rPr>
          <w:rFonts w:cs="Calibri"/>
          <w:sz w:val="16"/>
          <w:szCs w:val="16"/>
        </w:rPr>
        <w:t xml:space="preserve">TOTAL NUMBER OF FIRES: </w:t>
      </w:r>
      <w:r w:rsidR="00404030">
        <w:rPr>
          <w:rFonts w:cs="Calibri"/>
          <w:sz w:val="16"/>
          <w:szCs w:val="16"/>
        </w:rPr>
        <w:t>147</w:t>
      </w:r>
      <w:r>
        <w:rPr>
          <w:rFonts w:cs="Calibri"/>
          <w:sz w:val="16"/>
          <w:szCs w:val="16"/>
        </w:rPr>
        <w:t xml:space="preserve">                                                 TOTAL NUMBER OF ACRES: </w:t>
      </w:r>
      <w:r w:rsidR="00404030">
        <w:rPr>
          <w:rFonts w:cs="Calibri"/>
          <w:sz w:val="16"/>
          <w:szCs w:val="16"/>
        </w:rPr>
        <w:t>51,445.46</w:t>
      </w:r>
    </w:p>
    <w:p w:rsidR="007B5D16" w:rsidRDefault="000D31DA" w:rsidP="007B5D16">
      <w:pPr>
        <w:jc w:val="center"/>
        <w:rPr>
          <w:rFonts w:cs="Calibri"/>
          <w:sz w:val="24"/>
          <w:szCs w:val="24"/>
        </w:rPr>
      </w:pPr>
      <w:r>
        <w:rPr>
          <w:rFonts w:cs="Calibri"/>
          <w:sz w:val="16"/>
          <w:szCs w:val="16"/>
        </w:rPr>
        <w:t>NOT ALL COUNTIES REPORT THEIR FIRES, COUNTY NUMBERS MAY NOT BE ACCURATE</w:t>
      </w:r>
    </w:p>
    <w:p w:rsidR="007B5D16" w:rsidRDefault="007B5D16" w:rsidP="007B5D16">
      <w:pPr>
        <w:jc w:val="center"/>
        <w:rPr>
          <w:rFonts w:cs="Calibri"/>
          <w:sz w:val="24"/>
          <w:szCs w:val="24"/>
        </w:rPr>
      </w:pPr>
    </w:p>
    <w:p w:rsidR="0084066E" w:rsidRDefault="007B5D16" w:rsidP="0084066E">
      <w:pPr>
        <w:spacing w:after="0" w:line="240" w:lineRule="auto"/>
        <w:jc w:val="center"/>
        <w:rPr>
          <w:rFonts w:cs="Calibri"/>
          <w:b/>
          <w:sz w:val="24"/>
          <w:szCs w:val="24"/>
        </w:rPr>
      </w:pPr>
      <w:r>
        <w:rPr>
          <w:rFonts w:cs="Calibri"/>
          <w:sz w:val="24"/>
          <w:szCs w:val="24"/>
        </w:rPr>
        <w:br w:type="page"/>
      </w:r>
      <w:r w:rsidR="0084066E" w:rsidRPr="0084066E">
        <w:rPr>
          <w:rFonts w:cs="Calibri"/>
          <w:b/>
          <w:sz w:val="24"/>
          <w:szCs w:val="24"/>
        </w:rPr>
        <w:lastRenderedPageBreak/>
        <w:t>OTHER INCIDENTS</w:t>
      </w:r>
    </w:p>
    <w:p w:rsidR="0084066E" w:rsidRPr="0084066E" w:rsidRDefault="0084066E" w:rsidP="0084066E">
      <w:pPr>
        <w:spacing w:after="0" w:line="240" w:lineRule="auto"/>
        <w:jc w:val="center"/>
        <w:rPr>
          <w:rFonts w:cs="Calibri"/>
          <w:b/>
          <w:sz w:val="24"/>
          <w:szCs w:val="24"/>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788"/>
        <w:gridCol w:w="4788"/>
      </w:tblGrid>
      <w:tr w:rsidR="0084066E" w:rsidTr="00A768B8">
        <w:tc>
          <w:tcPr>
            <w:tcW w:w="4788" w:type="dxa"/>
            <w:shd w:val="clear" w:color="auto" w:fill="FF0000"/>
          </w:tcPr>
          <w:p w:rsidR="0084066E" w:rsidRPr="0084066E" w:rsidRDefault="0084066E" w:rsidP="00A768B8">
            <w:pPr>
              <w:jc w:val="center"/>
              <w:rPr>
                <w:rFonts w:cs="Calibri"/>
                <w:b/>
                <w:sz w:val="24"/>
                <w:szCs w:val="24"/>
              </w:rPr>
            </w:pPr>
            <w:r w:rsidRPr="0084066E">
              <w:rPr>
                <w:rFonts w:cs="Calibri"/>
                <w:b/>
                <w:sz w:val="24"/>
                <w:szCs w:val="24"/>
              </w:rPr>
              <w:t>INCIDENT TYPE</w:t>
            </w:r>
          </w:p>
        </w:tc>
        <w:tc>
          <w:tcPr>
            <w:tcW w:w="4788" w:type="dxa"/>
            <w:shd w:val="clear" w:color="auto" w:fill="FF0000"/>
          </w:tcPr>
          <w:p w:rsidR="0084066E" w:rsidRPr="0084066E" w:rsidRDefault="0084066E" w:rsidP="00A768B8">
            <w:pPr>
              <w:jc w:val="center"/>
              <w:rPr>
                <w:rFonts w:cs="Calibri"/>
                <w:b/>
                <w:sz w:val="24"/>
                <w:szCs w:val="24"/>
              </w:rPr>
            </w:pPr>
            <w:r w:rsidRPr="0084066E">
              <w:rPr>
                <w:rFonts w:cs="Calibri"/>
                <w:b/>
                <w:sz w:val="24"/>
                <w:szCs w:val="24"/>
              </w:rPr>
              <w:t>NUMBER</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Aircraft</w:t>
            </w:r>
          </w:p>
        </w:tc>
        <w:tc>
          <w:tcPr>
            <w:tcW w:w="4788" w:type="dxa"/>
          </w:tcPr>
          <w:p w:rsidR="0084066E" w:rsidRDefault="0084066E" w:rsidP="003C7E12">
            <w:pPr>
              <w:jc w:val="center"/>
              <w:rPr>
                <w:rFonts w:cs="Calibri"/>
                <w:sz w:val="24"/>
                <w:szCs w:val="24"/>
              </w:rPr>
            </w:pPr>
            <w:r>
              <w:rPr>
                <w:rFonts w:cs="Calibri"/>
                <w:sz w:val="24"/>
                <w:szCs w:val="24"/>
              </w:rPr>
              <w:t>73</w:t>
            </w:r>
            <w:r w:rsidR="003C7E12">
              <w:rPr>
                <w:rFonts w:cs="Calibri"/>
                <w:sz w:val="24"/>
                <w:szCs w:val="24"/>
              </w:rPr>
              <w:t xml:space="preserve"> </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Miscellaneous</w:t>
            </w:r>
          </w:p>
        </w:tc>
        <w:tc>
          <w:tcPr>
            <w:tcW w:w="4788" w:type="dxa"/>
          </w:tcPr>
          <w:p w:rsidR="0084066E" w:rsidRDefault="0084066E" w:rsidP="00A768B8">
            <w:pPr>
              <w:jc w:val="center"/>
              <w:rPr>
                <w:rFonts w:cs="Calibri"/>
                <w:sz w:val="24"/>
                <w:szCs w:val="24"/>
              </w:rPr>
            </w:pPr>
            <w:r>
              <w:rPr>
                <w:rFonts w:cs="Calibri"/>
                <w:sz w:val="24"/>
                <w:szCs w:val="24"/>
              </w:rPr>
              <w:t>18</w:t>
            </w:r>
            <w:r w:rsidR="003C7E12">
              <w:rPr>
                <w:rFonts w:cs="Calibri"/>
                <w:sz w:val="24"/>
                <w:szCs w:val="24"/>
              </w:rPr>
              <w:t xml:space="preserve"> </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Prescribed Fire</w:t>
            </w:r>
          </w:p>
        </w:tc>
        <w:tc>
          <w:tcPr>
            <w:tcW w:w="4788" w:type="dxa"/>
          </w:tcPr>
          <w:p w:rsidR="0084066E" w:rsidRDefault="0084066E" w:rsidP="00A768B8">
            <w:pPr>
              <w:jc w:val="center"/>
              <w:rPr>
                <w:rFonts w:cs="Calibri"/>
                <w:sz w:val="24"/>
                <w:szCs w:val="24"/>
              </w:rPr>
            </w:pPr>
            <w:r>
              <w:rPr>
                <w:rFonts w:cs="Calibri"/>
                <w:sz w:val="24"/>
                <w:szCs w:val="24"/>
              </w:rPr>
              <w:t>9</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Resource Order</w:t>
            </w:r>
          </w:p>
        </w:tc>
        <w:tc>
          <w:tcPr>
            <w:tcW w:w="4788" w:type="dxa"/>
          </w:tcPr>
          <w:p w:rsidR="0084066E" w:rsidRDefault="0084066E" w:rsidP="00A768B8">
            <w:pPr>
              <w:jc w:val="center"/>
              <w:rPr>
                <w:rFonts w:cs="Calibri"/>
                <w:sz w:val="24"/>
                <w:szCs w:val="24"/>
              </w:rPr>
            </w:pPr>
            <w:r>
              <w:rPr>
                <w:rFonts w:cs="Calibri"/>
                <w:sz w:val="24"/>
                <w:szCs w:val="24"/>
              </w:rPr>
              <w:t>72</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SAR</w:t>
            </w:r>
          </w:p>
        </w:tc>
        <w:tc>
          <w:tcPr>
            <w:tcW w:w="4788" w:type="dxa"/>
          </w:tcPr>
          <w:p w:rsidR="0084066E" w:rsidRDefault="0084066E" w:rsidP="00A768B8">
            <w:pPr>
              <w:jc w:val="center"/>
              <w:rPr>
                <w:rFonts w:cs="Calibri"/>
                <w:sz w:val="24"/>
                <w:szCs w:val="24"/>
              </w:rPr>
            </w:pPr>
            <w:r>
              <w:rPr>
                <w:rFonts w:cs="Calibri"/>
                <w:sz w:val="24"/>
                <w:szCs w:val="24"/>
              </w:rPr>
              <w:t>1</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Smoke Check</w:t>
            </w:r>
          </w:p>
        </w:tc>
        <w:tc>
          <w:tcPr>
            <w:tcW w:w="4788" w:type="dxa"/>
          </w:tcPr>
          <w:p w:rsidR="0084066E" w:rsidRDefault="0084066E" w:rsidP="00A768B8">
            <w:pPr>
              <w:jc w:val="center"/>
              <w:rPr>
                <w:rFonts w:cs="Calibri"/>
                <w:sz w:val="24"/>
                <w:szCs w:val="24"/>
              </w:rPr>
            </w:pPr>
            <w:r>
              <w:rPr>
                <w:rFonts w:cs="Calibri"/>
                <w:sz w:val="24"/>
                <w:szCs w:val="24"/>
              </w:rPr>
              <w:t>98</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Structure Fire</w:t>
            </w:r>
          </w:p>
        </w:tc>
        <w:tc>
          <w:tcPr>
            <w:tcW w:w="4788" w:type="dxa"/>
          </w:tcPr>
          <w:p w:rsidR="0084066E" w:rsidRDefault="0084066E" w:rsidP="00A768B8">
            <w:pPr>
              <w:jc w:val="center"/>
              <w:rPr>
                <w:rFonts w:cs="Calibri"/>
                <w:sz w:val="24"/>
                <w:szCs w:val="24"/>
              </w:rPr>
            </w:pPr>
            <w:r>
              <w:rPr>
                <w:rFonts w:cs="Calibri"/>
                <w:sz w:val="24"/>
                <w:szCs w:val="24"/>
              </w:rPr>
              <w:t>2</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Traffic Collision</w:t>
            </w:r>
          </w:p>
        </w:tc>
        <w:tc>
          <w:tcPr>
            <w:tcW w:w="4788" w:type="dxa"/>
          </w:tcPr>
          <w:p w:rsidR="0084066E" w:rsidRDefault="0084066E" w:rsidP="00A768B8">
            <w:pPr>
              <w:jc w:val="center"/>
              <w:rPr>
                <w:rFonts w:cs="Calibri"/>
                <w:sz w:val="24"/>
                <w:szCs w:val="24"/>
              </w:rPr>
            </w:pPr>
            <w:r>
              <w:rPr>
                <w:rFonts w:cs="Calibri"/>
                <w:sz w:val="24"/>
                <w:szCs w:val="24"/>
              </w:rPr>
              <w:t>5</w:t>
            </w:r>
          </w:p>
        </w:tc>
      </w:tr>
      <w:tr w:rsidR="0084066E" w:rsidTr="00A768B8">
        <w:tc>
          <w:tcPr>
            <w:tcW w:w="4788" w:type="dxa"/>
          </w:tcPr>
          <w:p w:rsidR="0084066E" w:rsidRDefault="0084066E" w:rsidP="00A768B8">
            <w:pPr>
              <w:jc w:val="center"/>
              <w:rPr>
                <w:rFonts w:cs="Calibri"/>
                <w:sz w:val="24"/>
                <w:szCs w:val="24"/>
              </w:rPr>
            </w:pPr>
            <w:r>
              <w:rPr>
                <w:rFonts w:cs="Calibri"/>
                <w:sz w:val="24"/>
                <w:szCs w:val="24"/>
              </w:rPr>
              <w:t>Vehicle Fire</w:t>
            </w:r>
          </w:p>
        </w:tc>
        <w:tc>
          <w:tcPr>
            <w:tcW w:w="4788" w:type="dxa"/>
          </w:tcPr>
          <w:p w:rsidR="0084066E" w:rsidRDefault="0084066E" w:rsidP="00A768B8">
            <w:pPr>
              <w:jc w:val="center"/>
              <w:rPr>
                <w:rFonts w:cs="Calibri"/>
                <w:sz w:val="24"/>
                <w:szCs w:val="24"/>
              </w:rPr>
            </w:pPr>
            <w:r>
              <w:rPr>
                <w:rFonts w:cs="Calibri"/>
                <w:sz w:val="24"/>
                <w:szCs w:val="24"/>
              </w:rPr>
              <w:t>3</w:t>
            </w:r>
          </w:p>
        </w:tc>
      </w:tr>
      <w:tr w:rsidR="0084066E" w:rsidTr="00A768B8">
        <w:tc>
          <w:tcPr>
            <w:tcW w:w="4788" w:type="dxa"/>
            <w:tcBorders>
              <w:bottom w:val="dashDotStroked" w:sz="24" w:space="0" w:color="auto"/>
            </w:tcBorders>
          </w:tcPr>
          <w:p w:rsidR="0084066E" w:rsidRDefault="0084066E" w:rsidP="00A768B8">
            <w:pPr>
              <w:jc w:val="center"/>
              <w:rPr>
                <w:rFonts w:cs="Calibri"/>
                <w:sz w:val="24"/>
                <w:szCs w:val="24"/>
              </w:rPr>
            </w:pPr>
            <w:r>
              <w:rPr>
                <w:rFonts w:cs="Calibri"/>
                <w:sz w:val="24"/>
                <w:szCs w:val="24"/>
              </w:rPr>
              <w:t>Wildfire</w:t>
            </w:r>
          </w:p>
        </w:tc>
        <w:tc>
          <w:tcPr>
            <w:tcW w:w="4788" w:type="dxa"/>
            <w:tcBorders>
              <w:bottom w:val="dashDotStroked" w:sz="24" w:space="0" w:color="auto"/>
            </w:tcBorders>
          </w:tcPr>
          <w:p w:rsidR="0084066E" w:rsidRDefault="0084066E" w:rsidP="003C7E12">
            <w:pPr>
              <w:jc w:val="center"/>
              <w:rPr>
                <w:rFonts w:cs="Calibri"/>
                <w:sz w:val="24"/>
                <w:szCs w:val="24"/>
              </w:rPr>
            </w:pPr>
            <w:r>
              <w:rPr>
                <w:rFonts w:cs="Calibri"/>
                <w:sz w:val="24"/>
                <w:szCs w:val="24"/>
              </w:rPr>
              <w:t>147</w:t>
            </w:r>
            <w:r w:rsidR="003C7E12">
              <w:rPr>
                <w:rFonts w:cs="Calibri"/>
                <w:sz w:val="24"/>
                <w:szCs w:val="24"/>
              </w:rPr>
              <w:t xml:space="preserve"> </w:t>
            </w:r>
          </w:p>
        </w:tc>
      </w:tr>
      <w:tr w:rsidR="0084066E" w:rsidTr="00A768B8">
        <w:tc>
          <w:tcPr>
            <w:tcW w:w="4788" w:type="dxa"/>
            <w:shd w:val="clear" w:color="auto" w:fill="FF0000"/>
          </w:tcPr>
          <w:p w:rsidR="0084066E" w:rsidRPr="00A768B8" w:rsidRDefault="00A768B8" w:rsidP="00A768B8">
            <w:pPr>
              <w:jc w:val="center"/>
              <w:rPr>
                <w:rFonts w:cs="Calibri"/>
                <w:b/>
                <w:sz w:val="24"/>
                <w:szCs w:val="24"/>
              </w:rPr>
            </w:pPr>
            <w:r w:rsidRPr="00A768B8">
              <w:rPr>
                <w:rFonts w:cs="Calibri"/>
                <w:b/>
                <w:sz w:val="32"/>
                <w:szCs w:val="24"/>
              </w:rPr>
              <w:t>Total</w:t>
            </w:r>
          </w:p>
        </w:tc>
        <w:tc>
          <w:tcPr>
            <w:tcW w:w="4788" w:type="dxa"/>
            <w:shd w:val="clear" w:color="auto" w:fill="FF0000"/>
          </w:tcPr>
          <w:p w:rsidR="0084066E" w:rsidRPr="00A768B8" w:rsidRDefault="00A768B8" w:rsidP="00A768B8">
            <w:pPr>
              <w:jc w:val="center"/>
              <w:rPr>
                <w:rFonts w:cs="Calibri"/>
                <w:b/>
                <w:sz w:val="32"/>
                <w:szCs w:val="32"/>
              </w:rPr>
            </w:pPr>
            <w:r w:rsidRPr="00A768B8">
              <w:rPr>
                <w:rFonts w:cs="Calibri"/>
                <w:b/>
                <w:sz w:val="32"/>
                <w:szCs w:val="32"/>
              </w:rPr>
              <w:t>428</w:t>
            </w:r>
          </w:p>
        </w:tc>
      </w:tr>
    </w:tbl>
    <w:p w:rsidR="0084066E" w:rsidRDefault="0084066E" w:rsidP="0084066E">
      <w:pPr>
        <w:rPr>
          <w:rFonts w:cs="Calibri"/>
          <w:sz w:val="24"/>
          <w:szCs w:val="24"/>
        </w:rPr>
      </w:pPr>
    </w:p>
    <w:p w:rsidR="0084066E" w:rsidRDefault="0084066E" w:rsidP="007B5D16">
      <w:pPr>
        <w:jc w:val="center"/>
        <w:rPr>
          <w:rFonts w:cs="Calibri"/>
          <w:sz w:val="24"/>
          <w:szCs w:val="24"/>
        </w:rPr>
      </w:pPr>
    </w:p>
    <w:p w:rsidR="00A768B8" w:rsidRDefault="00A768B8" w:rsidP="007B5D16">
      <w:pPr>
        <w:jc w:val="center"/>
        <w:rPr>
          <w:rFonts w:cs="Calibri"/>
          <w:sz w:val="24"/>
          <w:szCs w:val="24"/>
        </w:rPr>
      </w:pPr>
    </w:p>
    <w:p w:rsidR="00A768B8" w:rsidRDefault="00A768B8" w:rsidP="007B5D16">
      <w:pPr>
        <w:jc w:val="center"/>
        <w:rPr>
          <w:rFonts w:cs="Calibri"/>
          <w:sz w:val="24"/>
          <w:szCs w:val="24"/>
        </w:rPr>
      </w:pPr>
    </w:p>
    <w:p w:rsidR="00A768B8" w:rsidRDefault="00A768B8" w:rsidP="007B5D16">
      <w:pPr>
        <w:jc w:val="center"/>
        <w:rPr>
          <w:rFonts w:cs="Calibri"/>
          <w:sz w:val="24"/>
          <w:szCs w:val="24"/>
        </w:rPr>
      </w:pPr>
    </w:p>
    <w:p w:rsidR="00A768B8" w:rsidRDefault="00A768B8" w:rsidP="007B5D16">
      <w:pPr>
        <w:jc w:val="center"/>
        <w:rPr>
          <w:rFonts w:cs="Calibri"/>
          <w:sz w:val="24"/>
          <w:szCs w:val="24"/>
        </w:rPr>
      </w:pPr>
    </w:p>
    <w:p w:rsidR="00A768B8" w:rsidRDefault="00A768B8" w:rsidP="007B5D16">
      <w:pPr>
        <w:jc w:val="center"/>
        <w:rPr>
          <w:rFonts w:cs="Calibri"/>
          <w:sz w:val="24"/>
          <w:szCs w:val="24"/>
        </w:rPr>
      </w:pPr>
    </w:p>
    <w:p w:rsidR="00A768B8" w:rsidRDefault="00A768B8" w:rsidP="007B5D16">
      <w:pPr>
        <w:jc w:val="center"/>
        <w:rPr>
          <w:rFonts w:cs="Calibri"/>
          <w:sz w:val="24"/>
          <w:szCs w:val="24"/>
        </w:rPr>
      </w:pPr>
    </w:p>
    <w:p w:rsidR="0084066E" w:rsidRDefault="0084066E" w:rsidP="007B5D16">
      <w:pPr>
        <w:jc w:val="center"/>
        <w:rPr>
          <w:rFonts w:cs="Calibri"/>
          <w:sz w:val="24"/>
          <w:szCs w:val="24"/>
        </w:rPr>
      </w:pPr>
    </w:p>
    <w:p w:rsidR="00787B6F" w:rsidRDefault="000031CB" w:rsidP="007B5D16">
      <w:pPr>
        <w:jc w:val="center"/>
        <w:rPr>
          <w:rFonts w:cs="Calibri"/>
          <w:b/>
          <w:sz w:val="24"/>
          <w:szCs w:val="24"/>
        </w:rPr>
      </w:pPr>
      <w:r>
        <w:rPr>
          <w:rFonts w:cs="Calibri"/>
          <w:b/>
          <w:sz w:val="24"/>
          <w:szCs w:val="24"/>
        </w:rPr>
        <w:lastRenderedPageBreak/>
        <w:t xml:space="preserve">2012 </w:t>
      </w:r>
      <w:r w:rsidR="00B364D6">
        <w:rPr>
          <w:rFonts w:cs="Calibri"/>
          <w:b/>
          <w:sz w:val="24"/>
          <w:szCs w:val="24"/>
        </w:rPr>
        <w:t>RESOURCE MANAGEMENT</w:t>
      </w:r>
    </w:p>
    <w:p w:rsidR="00B364D6" w:rsidRDefault="00B364D6" w:rsidP="00B364D6">
      <w:pPr>
        <w:spacing w:after="0" w:line="240" w:lineRule="auto"/>
        <w:jc w:val="center"/>
        <w:rPr>
          <w:rFonts w:cs="Calibri"/>
          <w:b/>
          <w:sz w:val="24"/>
          <w:szCs w:val="24"/>
        </w:rPr>
      </w:pPr>
      <w:r>
        <w:rPr>
          <w:rFonts w:cs="Calibri"/>
          <w:b/>
          <w:sz w:val="24"/>
          <w:szCs w:val="24"/>
        </w:rPr>
        <w:t>Resources Ordered</w:t>
      </w:r>
    </w:p>
    <w:p w:rsidR="00B364D6" w:rsidRDefault="00B364D6" w:rsidP="00B364D6">
      <w:pPr>
        <w:spacing w:after="0" w:line="240" w:lineRule="auto"/>
        <w:rPr>
          <w:rFonts w:cs="Calibri"/>
          <w:b/>
          <w:sz w:val="24"/>
          <w:szCs w:val="24"/>
        </w:rPr>
      </w:pPr>
      <w:r>
        <w:rPr>
          <w:rFonts w:cs="Calibri"/>
          <w:b/>
          <w:sz w:val="24"/>
          <w:szCs w:val="24"/>
        </w:rPr>
        <w:t>Aircraft:</w:t>
      </w:r>
    </w:p>
    <w:tbl>
      <w:tblPr>
        <w:tblStyle w:val="TableGrid"/>
        <w:tblW w:w="0" w:type="auto"/>
        <w:tblLook w:val="04A0" w:firstRow="1" w:lastRow="0" w:firstColumn="1" w:lastColumn="0" w:noHBand="0" w:noVBand="1"/>
      </w:tblPr>
      <w:tblGrid>
        <w:gridCol w:w="4788"/>
        <w:gridCol w:w="4788"/>
      </w:tblGrid>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b/>
                <w:sz w:val="24"/>
                <w:szCs w:val="24"/>
              </w:rPr>
            </w:pPr>
            <w:r>
              <w:rPr>
                <w:b/>
                <w:sz w:val="24"/>
                <w:szCs w:val="24"/>
              </w:rPr>
              <w:t>TYPE OF AIRCRAFT</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rsidP="00F45CA9">
            <w:pPr>
              <w:spacing w:after="0" w:line="240" w:lineRule="auto"/>
              <w:jc w:val="center"/>
              <w:rPr>
                <w:b/>
                <w:sz w:val="24"/>
                <w:szCs w:val="24"/>
              </w:rPr>
            </w:pPr>
            <w:r>
              <w:rPr>
                <w:b/>
                <w:sz w:val="24"/>
                <w:szCs w:val="24"/>
              </w:rPr>
              <w:t>HOW MANY ORDERED</w:t>
            </w:r>
            <w:r w:rsidR="00F45CA9">
              <w:rPr>
                <w:b/>
                <w:sz w:val="24"/>
                <w:szCs w:val="24"/>
              </w:rPr>
              <w:t xml:space="preserve"> </w:t>
            </w:r>
            <w:r w:rsidR="00F45CA9">
              <w:rPr>
                <w:b/>
                <w:color w:val="FF0000"/>
                <w:sz w:val="24"/>
                <w:szCs w:val="24"/>
              </w:rPr>
              <w:t>(2011</w:t>
            </w:r>
            <w:r w:rsidR="00F45CA9" w:rsidRPr="00F45CA9">
              <w:rPr>
                <w:b/>
                <w:color w:val="FF0000"/>
                <w:sz w:val="24"/>
                <w:szCs w:val="24"/>
              </w:rPr>
              <w:t>)</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I.A. Smokejumper Loads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3</w:t>
            </w:r>
            <w:r w:rsidR="00F45CA9">
              <w:rPr>
                <w:sz w:val="24"/>
                <w:szCs w:val="24"/>
              </w:rPr>
              <w:t xml:space="preserve"> </w:t>
            </w:r>
            <w:r w:rsidR="00F45CA9" w:rsidRPr="00F45CA9">
              <w:rPr>
                <w:color w:val="FF0000"/>
                <w:sz w:val="24"/>
                <w:szCs w:val="24"/>
              </w:rPr>
              <w:t>(0)</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 xml:space="preserve">Type 1 or 2 </w:t>
            </w:r>
            <w:proofErr w:type="spellStart"/>
            <w:r>
              <w:rPr>
                <w:sz w:val="24"/>
                <w:szCs w:val="24"/>
              </w:rPr>
              <w:t>Airtanker</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25</w:t>
            </w:r>
            <w:r w:rsidR="00F45CA9">
              <w:rPr>
                <w:sz w:val="24"/>
                <w:szCs w:val="24"/>
              </w:rPr>
              <w:t xml:space="preserve"> </w:t>
            </w:r>
            <w:r w:rsidR="00F45CA9" w:rsidRPr="00F45CA9">
              <w:rPr>
                <w:color w:val="FF0000"/>
                <w:sz w:val="24"/>
                <w:szCs w:val="24"/>
              </w:rPr>
              <w:t>(2)</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 xml:space="preserve">Type 3 </w:t>
            </w:r>
            <w:proofErr w:type="spellStart"/>
            <w:r>
              <w:rPr>
                <w:sz w:val="24"/>
                <w:szCs w:val="24"/>
              </w:rPr>
              <w:t>Airtanker</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2</w:t>
            </w:r>
            <w:r w:rsidR="00F45CA9">
              <w:rPr>
                <w:sz w:val="24"/>
                <w:szCs w:val="24"/>
              </w:rPr>
              <w:t xml:space="preserve"> </w:t>
            </w:r>
            <w:r w:rsidR="00F45CA9" w:rsidRPr="00F45CA9">
              <w:rPr>
                <w:color w:val="FF0000"/>
                <w:sz w:val="24"/>
                <w:szCs w:val="24"/>
              </w:rPr>
              <w:t>(0)</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SEAT’s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56</w:t>
            </w:r>
            <w:r w:rsidR="00F45CA9">
              <w:rPr>
                <w:sz w:val="24"/>
                <w:szCs w:val="24"/>
              </w:rPr>
              <w:t xml:space="preserve"> </w:t>
            </w:r>
            <w:r w:rsidR="00F45CA9" w:rsidRPr="00F45CA9">
              <w:rPr>
                <w:color w:val="FF0000"/>
                <w:sz w:val="24"/>
                <w:szCs w:val="24"/>
              </w:rPr>
              <w:t>(7)</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Aerial supervision Module</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7</w:t>
            </w:r>
            <w:r w:rsidR="00F45CA9">
              <w:rPr>
                <w:sz w:val="24"/>
                <w:szCs w:val="24"/>
              </w:rPr>
              <w:t xml:space="preserve"> </w:t>
            </w:r>
            <w:r w:rsidR="00F45CA9" w:rsidRPr="00F45CA9">
              <w:rPr>
                <w:color w:val="FF0000"/>
                <w:sz w:val="24"/>
                <w:szCs w:val="24"/>
              </w:rPr>
              <w:t>(0)</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Air Tactical</w:t>
            </w:r>
          </w:p>
        </w:tc>
        <w:tc>
          <w:tcPr>
            <w:tcW w:w="4788" w:type="dxa"/>
            <w:tcBorders>
              <w:top w:val="single" w:sz="4" w:space="0" w:color="auto"/>
              <w:left w:val="single" w:sz="4" w:space="0" w:color="auto"/>
              <w:bottom w:val="single" w:sz="4" w:space="0" w:color="auto"/>
              <w:right w:val="single" w:sz="4" w:space="0" w:color="auto"/>
            </w:tcBorders>
            <w:hideMark/>
          </w:tcPr>
          <w:p w:rsidR="00B364D6" w:rsidRPr="00F45CA9" w:rsidRDefault="00B364D6">
            <w:pPr>
              <w:spacing w:after="0" w:line="240" w:lineRule="auto"/>
              <w:jc w:val="center"/>
              <w:rPr>
                <w:color w:val="FF0000"/>
                <w:sz w:val="24"/>
                <w:szCs w:val="24"/>
              </w:rPr>
            </w:pPr>
            <w:r>
              <w:rPr>
                <w:sz w:val="24"/>
                <w:szCs w:val="24"/>
              </w:rPr>
              <w:t>29</w:t>
            </w:r>
            <w:r w:rsidR="00F45CA9">
              <w:rPr>
                <w:sz w:val="24"/>
                <w:szCs w:val="24"/>
              </w:rPr>
              <w:t xml:space="preserve"> </w:t>
            </w:r>
            <w:r w:rsidR="00F45CA9">
              <w:rPr>
                <w:color w:val="FF0000"/>
                <w:sz w:val="24"/>
                <w:szCs w:val="24"/>
              </w:rPr>
              <w:t>(10)</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Lead Plane</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7</w:t>
            </w:r>
            <w:r w:rsidR="00F45CA9">
              <w:rPr>
                <w:sz w:val="24"/>
                <w:szCs w:val="24"/>
              </w:rPr>
              <w:t xml:space="preserve"> </w:t>
            </w:r>
            <w:r w:rsidR="00F45CA9" w:rsidRPr="00F45CA9">
              <w:rPr>
                <w:color w:val="FF0000"/>
                <w:sz w:val="24"/>
                <w:szCs w:val="24"/>
              </w:rPr>
              <w:t>(1)</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Type 1 Helicopter</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23</w:t>
            </w:r>
            <w:r w:rsidR="00F45CA9">
              <w:rPr>
                <w:sz w:val="24"/>
                <w:szCs w:val="24"/>
              </w:rPr>
              <w:t xml:space="preserve"> </w:t>
            </w:r>
            <w:r w:rsidR="00F45CA9" w:rsidRPr="00F45CA9">
              <w:rPr>
                <w:color w:val="FF0000"/>
                <w:sz w:val="24"/>
                <w:szCs w:val="24"/>
              </w:rPr>
              <w:t>(1)</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Type 2 Helicopter</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8</w:t>
            </w:r>
            <w:r w:rsidR="00F45CA9">
              <w:rPr>
                <w:sz w:val="24"/>
                <w:szCs w:val="24"/>
              </w:rPr>
              <w:t xml:space="preserve"> </w:t>
            </w:r>
            <w:r w:rsidR="00F45CA9" w:rsidRPr="00F45CA9">
              <w:rPr>
                <w:color w:val="FF0000"/>
                <w:sz w:val="24"/>
                <w:szCs w:val="24"/>
              </w:rPr>
              <w:t>(0)</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Type 3 Helicopter</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16</w:t>
            </w:r>
            <w:r w:rsidR="00F45CA9">
              <w:rPr>
                <w:sz w:val="24"/>
                <w:szCs w:val="24"/>
              </w:rPr>
              <w:t xml:space="preserve"> </w:t>
            </w:r>
            <w:r w:rsidR="00F45CA9" w:rsidRPr="00F45CA9">
              <w:rPr>
                <w:color w:val="FF0000"/>
                <w:sz w:val="24"/>
                <w:szCs w:val="24"/>
              </w:rPr>
              <w:t>(3)</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IR Flight</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21</w:t>
            </w:r>
            <w:r w:rsidR="00F45CA9">
              <w:rPr>
                <w:sz w:val="24"/>
                <w:szCs w:val="24"/>
              </w:rPr>
              <w:t xml:space="preserve"> </w:t>
            </w:r>
            <w:r w:rsidR="00F45CA9" w:rsidRPr="00F45CA9">
              <w:rPr>
                <w:color w:val="FF0000"/>
                <w:sz w:val="24"/>
                <w:szCs w:val="24"/>
              </w:rPr>
              <w:t>(2)</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Temporary Flight Restriction (TFR)</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5</w:t>
            </w:r>
            <w:r w:rsidR="00F45CA9">
              <w:rPr>
                <w:sz w:val="24"/>
                <w:szCs w:val="24"/>
              </w:rPr>
              <w:t xml:space="preserve"> </w:t>
            </w:r>
            <w:r w:rsidR="00F45CA9" w:rsidRPr="00F45CA9">
              <w:rPr>
                <w:color w:val="FF0000"/>
                <w:sz w:val="24"/>
                <w:szCs w:val="24"/>
              </w:rPr>
              <w:t>(1)</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Air to Air Frequency</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5</w:t>
            </w:r>
            <w:r w:rsidR="00F45CA9">
              <w:rPr>
                <w:sz w:val="24"/>
                <w:szCs w:val="24"/>
              </w:rPr>
              <w:t xml:space="preserve"> </w:t>
            </w:r>
            <w:r w:rsidR="00F45CA9" w:rsidRPr="00F45CA9">
              <w:rPr>
                <w:color w:val="FF0000"/>
                <w:sz w:val="24"/>
                <w:szCs w:val="24"/>
              </w:rPr>
              <w:t>(0)</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Air to Ground Frequency</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4</w:t>
            </w:r>
            <w:r w:rsidR="00F45CA9">
              <w:rPr>
                <w:sz w:val="24"/>
                <w:szCs w:val="24"/>
              </w:rPr>
              <w:t xml:space="preserve"> </w:t>
            </w:r>
            <w:r w:rsidR="00F45CA9" w:rsidRPr="00F45CA9">
              <w:rPr>
                <w:color w:val="FF0000"/>
                <w:sz w:val="24"/>
                <w:szCs w:val="24"/>
              </w:rPr>
              <w:t>(0)</w:t>
            </w:r>
          </w:p>
        </w:tc>
      </w:tr>
    </w:tbl>
    <w:p w:rsidR="00B364D6" w:rsidRDefault="00B364D6" w:rsidP="00B364D6">
      <w:pPr>
        <w:spacing w:after="0" w:line="240" w:lineRule="auto"/>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Total: 213</w:t>
      </w:r>
      <w:r w:rsidR="00F45CA9">
        <w:rPr>
          <w:rFonts w:cs="Calibri"/>
          <w:b/>
          <w:sz w:val="24"/>
          <w:szCs w:val="24"/>
        </w:rPr>
        <w:t xml:space="preserve"> </w:t>
      </w:r>
      <w:r w:rsidR="00F45CA9" w:rsidRPr="00F45CA9">
        <w:rPr>
          <w:rFonts w:cs="Calibri"/>
          <w:b/>
          <w:color w:val="FF0000"/>
          <w:sz w:val="24"/>
          <w:szCs w:val="24"/>
        </w:rPr>
        <w:t>(27)</w:t>
      </w:r>
    </w:p>
    <w:p w:rsidR="00B364D6" w:rsidRDefault="00B364D6" w:rsidP="00B364D6">
      <w:pPr>
        <w:spacing w:after="0" w:line="240" w:lineRule="auto"/>
        <w:rPr>
          <w:rFonts w:cs="Calibri"/>
          <w:b/>
          <w:sz w:val="24"/>
          <w:szCs w:val="24"/>
        </w:rPr>
      </w:pPr>
    </w:p>
    <w:p w:rsidR="00B364D6" w:rsidRDefault="00B364D6" w:rsidP="00B364D6">
      <w:pPr>
        <w:spacing w:after="0" w:line="240" w:lineRule="auto"/>
        <w:rPr>
          <w:rFonts w:cs="Calibri"/>
          <w:b/>
          <w:sz w:val="24"/>
          <w:szCs w:val="24"/>
        </w:rPr>
      </w:pPr>
      <w:r>
        <w:rPr>
          <w:rFonts w:cs="Calibri"/>
          <w:b/>
          <w:sz w:val="24"/>
          <w:szCs w:val="24"/>
        </w:rPr>
        <w:t>Crews:</w:t>
      </w:r>
    </w:p>
    <w:tbl>
      <w:tblPr>
        <w:tblStyle w:val="TableGrid"/>
        <w:tblW w:w="0" w:type="auto"/>
        <w:tblLook w:val="04A0" w:firstRow="1" w:lastRow="0" w:firstColumn="1" w:lastColumn="0" w:noHBand="0" w:noVBand="1"/>
      </w:tblPr>
      <w:tblGrid>
        <w:gridCol w:w="4788"/>
        <w:gridCol w:w="4788"/>
      </w:tblGrid>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b/>
                <w:sz w:val="24"/>
                <w:szCs w:val="24"/>
              </w:rPr>
            </w:pPr>
            <w:r>
              <w:rPr>
                <w:b/>
                <w:sz w:val="24"/>
                <w:szCs w:val="24"/>
              </w:rPr>
              <w:t>TYPE OF CREW</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b/>
                <w:sz w:val="24"/>
                <w:szCs w:val="24"/>
              </w:rPr>
            </w:pPr>
            <w:r>
              <w:rPr>
                <w:b/>
                <w:sz w:val="24"/>
                <w:szCs w:val="24"/>
              </w:rPr>
              <w:t>HOW MANY ORDERED</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 xml:space="preserve">Type 1 </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4</w:t>
            </w:r>
            <w:r w:rsidR="00F45CA9">
              <w:rPr>
                <w:sz w:val="24"/>
                <w:szCs w:val="24"/>
              </w:rPr>
              <w:t xml:space="preserve"> </w:t>
            </w:r>
            <w:r w:rsidR="00A768B8">
              <w:rPr>
                <w:sz w:val="24"/>
                <w:szCs w:val="24"/>
              </w:rPr>
              <w:t xml:space="preserve"> </w:t>
            </w:r>
            <w:r w:rsidR="003C7E12" w:rsidRPr="003C7E12">
              <w:rPr>
                <w:color w:val="FF0000"/>
                <w:sz w:val="24"/>
                <w:szCs w:val="24"/>
              </w:rPr>
              <w:t>(2)</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 xml:space="preserve">Type 1 or Type 2 IA </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17</w:t>
            </w:r>
            <w:r w:rsidR="003C7E12">
              <w:rPr>
                <w:sz w:val="24"/>
                <w:szCs w:val="24"/>
              </w:rPr>
              <w:t xml:space="preserve"> </w:t>
            </w:r>
            <w:r w:rsidR="003C7E12" w:rsidRPr="003C7E12">
              <w:rPr>
                <w:color w:val="FF0000"/>
                <w:sz w:val="24"/>
                <w:szCs w:val="24"/>
              </w:rPr>
              <w:t>(1)</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rsidP="003C7E12">
            <w:pPr>
              <w:spacing w:after="0" w:line="240" w:lineRule="auto"/>
              <w:jc w:val="center"/>
              <w:rPr>
                <w:sz w:val="24"/>
                <w:szCs w:val="24"/>
              </w:rPr>
            </w:pPr>
            <w:r>
              <w:rPr>
                <w:sz w:val="24"/>
                <w:szCs w:val="24"/>
              </w:rPr>
              <w:t>Type 2</w:t>
            </w:r>
            <w:r w:rsidR="003C7E12">
              <w:rPr>
                <w:sz w:val="24"/>
                <w:szCs w:val="24"/>
              </w:rPr>
              <w:t xml:space="preserve"> or </w:t>
            </w:r>
            <w:r>
              <w:rPr>
                <w:sz w:val="24"/>
                <w:szCs w:val="24"/>
              </w:rPr>
              <w:t>2</w:t>
            </w:r>
            <w:r w:rsidR="003C7E12">
              <w:rPr>
                <w:sz w:val="24"/>
                <w:szCs w:val="24"/>
              </w:rPr>
              <w:t>-</w:t>
            </w:r>
            <w:r>
              <w:rPr>
                <w:sz w:val="24"/>
                <w:szCs w:val="24"/>
              </w:rPr>
              <w:t>IA</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19</w:t>
            </w:r>
            <w:r w:rsidR="003C7E12">
              <w:rPr>
                <w:sz w:val="24"/>
                <w:szCs w:val="24"/>
              </w:rPr>
              <w:t xml:space="preserve"> </w:t>
            </w:r>
            <w:r w:rsidR="003C7E12" w:rsidRPr="003C7E12">
              <w:rPr>
                <w:color w:val="FF0000"/>
                <w:sz w:val="24"/>
                <w:szCs w:val="24"/>
              </w:rPr>
              <w:t>(5)</w:t>
            </w:r>
          </w:p>
        </w:tc>
      </w:tr>
      <w:tr w:rsidR="00B364D6" w:rsidTr="00B364D6">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Crew Misc.</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2</w:t>
            </w:r>
            <w:r w:rsidR="003C7E12">
              <w:rPr>
                <w:sz w:val="24"/>
                <w:szCs w:val="24"/>
              </w:rPr>
              <w:t xml:space="preserve"> </w:t>
            </w:r>
            <w:r w:rsidR="003C7E12" w:rsidRPr="003C7E12">
              <w:rPr>
                <w:color w:val="FF0000"/>
                <w:sz w:val="24"/>
                <w:szCs w:val="24"/>
              </w:rPr>
              <w:t>(0)</w:t>
            </w:r>
          </w:p>
        </w:tc>
      </w:tr>
    </w:tbl>
    <w:p w:rsidR="00B364D6" w:rsidRDefault="00B364D6" w:rsidP="00B364D6">
      <w:pPr>
        <w:spacing w:after="0" w:line="240" w:lineRule="auto"/>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Total: 40</w:t>
      </w:r>
      <w:r w:rsidR="000031CB">
        <w:rPr>
          <w:rFonts w:cs="Calibri"/>
          <w:b/>
          <w:sz w:val="24"/>
          <w:szCs w:val="24"/>
        </w:rPr>
        <w:t xml:space="preserve"> </w:t>
      </w:r>
      <w:r w:rsidR="000031CB" w:rsidRPr="000031CB">
        <w:rPr>
          <w:rFonts w:cs="Calibri"/>
          <w:b/>
          <w:color w:val="FF0000"/>
          <w:sz w:val="24"/>
          <w:szCs w:val="24"/>
        </w:rPr>
        <w:t>(8)</w:t>
      </w:r>
    </w:p>
    <w:p w:rsidR="00B364D6" w:rsidRPr="00787B6F" w:rsidRDefault="00B364D6" w:rsidP="00B364D6">
      <w:pPr>
        <w:spacing w:after="0" w:line="240" w:lineRule="auto"/>
        <w:rPr>
          <w:rFonts w:cs="Calibri"/>
          <w:b/>
          <w:sz w:val="24"/>
          <w:szCs w:val="24"/>
        </w:rPr>
      </w:pPr>
    </w:p>
    <w:p w:rsidR="00B364D6" w:rsidRDefault="00B364D6" w:rsidP="00B364D6">
      <w:pPr>
        <w:spacing w:after="0"/>
        <w:rPr>
          <w:rFonts w:cs="Calibri"/>
          <w:b/>
          <w:sz w:val="24"/>
          <w:szCs w:val="24"/>
        </w:rPr>
      </w:pPr>
      <w:r w:rsidRPr="00B364D6">
        <w:rPr>
          <w:rFonts w:cs="Calibri"/>
          <w:b/>
          <w:sz w:val="24"/>
          <w:szCs w:val="24"/>
        </w:rPr>
        <w:t>Equipment:</w:t>
      </w:r>
    </w:p>
    <w:tbl>
      <w:tblPr>
        <w:tblStyle w:val="TableGrid"/>
        <w:tblW w:w="0" w:type="auto"/>
        <w:tblInd w:w="18" w:type="dxa"/>
        <w:tblLook w:val="04A0" w:firstRow="1" w:lastRow="0" w:firstColumn="1" w:lastColumn="0" w:noHBand="0" w:noVBand="1"/>
      </w:tblPr>
      <w:tblGrid>
        <w:gridCol w:w="4770"/>
        <w:gridCol w:w="4788"/>
      </w:tblGrid>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Dozers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6</w:t>
            </w:r>
            <w:r w:rsidR="00A768B8">
              <w:rPr>
                <w:sz w:val="24"/>
                <w:szCs w:val="24"/>
              </w:rPr>
              <w:t xml:space="preserve"> </w:t>
            </w:r>
            <w:r w:rsidR="00A768B8" w:rsidRPr="003C7E12">
              <w:rPr>
                <w:color w:val="FF0000"/>
                <w:sz w:val="24"/>
                <w:szCs w:val="24"/>
              </w:rPr>
              <w:t>(0)</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Engines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81</w:t>
            </w:r>
            <w:r w:rsidR="00A768B8">
              <w:rPr>
                <w:sz w:val="24"/>
                <w:szCs w:val="24"/>
              </w:rPr>
              <w:t xml:space="preserve"> </w:t>
            </w:r>
            <w:r w:rsidR="00A768B8" w:rsidRPr="003C7E12">
              <w:rPr>
                <w:color w:val="FF0000"/>
                <w:sz w:val="24"/>
                <w:szCs w:val="24"/>
              </w:rPr>
              <w:t>(46)</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Caterer’s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2</w:t>
            </w:r>
            <w:r w:rsidR="00A768B8">
              <w:rPr>
                <w:sz w:val="24"/>
                <w:szCs w:val="24"/>
              </w:rPr>
              <w:t xml:space="preserve"> </w:t>
            </w:r>
            <w:r w:rsidR="00A768B8" w:rsidRPr="003C7E12">
              <w:rPr>
                <w:color w:val="FF0000"/>
                <w:sz w:val="24"/>
                <w:szCs w:val="24"/>
              </w:rPr>
              <w:t>(0)</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Water Trucks/ Tenders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10</w:t>
            </w:r>
            <w:r w:rsidR="00A768B8">
              <w:rPr>
                <w:sz w:val="24"/>
                <w:szCs w:val="24"/>
              </w:rPr>
              <w:t xml:space="preserve"> </w:t>
            </w:r>
            <w:r w:rsidR="00A768B8" w:rsidRPr="003C7E12">
              <w:rPr>
                <w:color w:val="FF0000"/>
                <w:sz w:val="24"/>
                <w:szCs w:val="24"/>
              </w:rPr>
              <w:t>(</w:t>
            </w:r>
            <w:r w:rsidR="003C7E12" w:rsidRPr="003C7E12">
              <w:rPr>
                <w:color w:val="FF0000"/>
                <w:sz w:val="24"/>
                <w:szCs w:val="24"/>
              </w:rPr>
              <w:t>1)</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Miscellaneous Equipment</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9</w:t>
            </w:r>
            <w:r w:rsidR="003C7E12">
              <w:rPr>
                <w:sz w:val="24"/>
                <w:szCs w:val="24"/>
              </w:rPr>
              <w:t xml:space="preserve"> </w:t>
            </w:r>
            <w:r w:rsidR="003C7E12" w:rsidRPr="003C7E12">
              <w:rPr>
                <w:color w:val="FF0000"/>
                <w:sz w:val="24"/>
                <w:szCs w:val="24"/>
              </w:rPr>
              <w:t>(1)</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Trailers (</w:t>
            </w:r>
            <w:proofErr w:type="spellStart"/>
            <w:r>
              <w:rPr>
                <w:sz w:val="24"/>
                <w:szCs w:val="24"/>
              </w:rPr>
              <w:t>Commo</w:t>
            </w:r>
            <w:proofErr w:type="spellEnd"/>
            <w:r>
              <w:rPr>
                <w:sz w:val="24"/>
                <w:szCs w:val="24"/>
              </w:rPr>
              <w:t>, Helicopter etc.)</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3</w:t>
            </w:r>
            <w:r w:rsidR="003C7E12">
              <w:rPr>
                <w:sz w:val="24"/>
                <w:szCs w:val="24"/>
              </w:rPr>
              <w:t xml:space="preserve"> </w:t>
            </w:r>
            <w:r w:rsidR="003C7E12" w:rsidRPr="003C7E12">
              <w:rPr>
                <w:color w:val="FF0000"/>
                <w:sz w:val="24"/>
                <w:szCs w:val="24"/>
              </w:rPr>
              <w:t>(0)</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Transportation (trucks, ATV’s etc.)</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18</w:t>
            </w:r>
            <w:r w:rsidR="003C7E12">
              <w:rPr>
                <w:sz w:val="24"/>
                <w:szCs w:val="24"/>
              </w:rPr>
              <w:t xml:space="preserve"> </w:t>
            </w:r>
            <w:r w:rsidR="003C7E12" w:rsidRPr="003C7E12">
              <w:rPr>
                <w:color w:val="FF0000"/>
                <w:sz w:val="24"/>
                <w:szCs w:val="24"/>
              </w:rPr>
              <w:t>(0)</w:t>
            </w:r>
          </w:p>
        </w:tc>
      </w:tr>
      <w:tr w:rsidR="00B364D6" w:rsidTr="00B364D6">
        <w:tc>
          <w:tcPr>
            <w:tcW w:w="4770"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Mobile Shower Units</w:t>
            </w:r>
          </w:p>
        </w:tc>
        <w:tc>
          <w:tcPr>
            <w:tcW w:w="4788" w:type="dxa"/>
            <w:tcBorders>
              <w:top w:val="single" w:sz="4" w:space="0" w:color="auto"/>
              <w:left w:val="single" w:sz="4" w:space="0" w:color="auto"/>
              <w:bottom w:val="single" w:sz="4" w:space="0" w:color="auto"/>
              <w:right w:val="single" w:sz="4" w:space="0" w:color="auto"/>
            </w:tcBorders>
            <w:hideMark/>
          </w:tcPr>
          <w:p w:rsidR="00B364D6" w:rsidRDefault="00B364D6">
            <w:pPr>
              <w:spacing w:after="0" w:line="240" w:lineRule="auto"/>
              <w:jc w:val="center"/>
              <w:rPr>
                <w:sz w:val="24"/>
                <w:szCs w:val="24"/>
              </w:rPr>
            </w:pPr>
            <w:r>
              <w:rPr>
                <w:sz w:val="24"/>
                <w:szCs w:val="24"/>
              </w:rPr>
              <w:t>1</w:t>
            </w:r>
            <w:r w:rsidR="003C7E12">
              <w:rPr>
                <w:sz w:val="24"/>
                <w:szCs w:val="24"/>
              </w:rPr>
              <w:t xml:space="preserve"> </w:t>
            </w:r>
            <w:r w:rsidR="003C7E12" w:rsidRPr="003C7E12">
              <w:rPr>
                <w:color w:val="FF0000"/>
                <w:sz w:val="24"/>
                <w:szCs w:val="24"/>
              </w:rPr>
              <w:t>(0)</w:t>
            </w:r>
          </w:p>
        </w:tc>
      </w:tr>
    </w:tbl>
    <w:p w:rsidR="00B364D6" w:rsidRPr="00B364D6" w:rsidRDefault="00B364D6" w:rsidP="00787B6F">
      <w:pPr>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Total: 126</w:t>
      </w:r>
      <w:r w:rsidR="000031CB">
        <w:rPr>
          <w:rFonts w:cs="Calibri"/>
          <w:b/>
          <w:sz w:val="24"/>
          <w:szCs w:val="24"/>
        </w:rPr>
        <w:t xml:space="preserve"> </w:t>
      </w:r>
      <w:r w:rsidR="000031CB" w:rsidRPr="000031CB">
        <w:rPr>
          <w:rFonts w:cs="Calibri"/>
          <w:b/>
          <w:color w:val="FF0000"/>
          <w:sz w:val="24"/>
          <w:szCs w:val="24"/>
        </w:rPr>
        <w:t>(48)</w:t>
      </w:r>
    </w:p>
    <w:p w:rsidR="00B364D6" w:rsidRDefault="00B364D6" w:rsidP="00787B6F">
      <w:pPr>
        <w:rPr>
          <w:rFonts w:cs="Calibri"/>
          <w:sz w:val="24"/>
          <w:szCs w:val="24"/>
        </w:rPr>
      </w:pPr>
      <w:r>
        <w:rPr>
          <w:rFonts w:cs="Calibri"/>
          <w:sz w:val="24"/>
          <w:szCs w:val="24"/>
        </w:rPr>
        <w:t>Rawlins Dispa</w:t>
      </w:r>
      <w:r w:rsidR="005E488E">
        <w:rPr>
          <w:rFonts w:cs="Calibri"/>
          <w:sz w:val="24"/>
          <w:szCs w:val="24"/>
        </w:rPr>
        <w:t>tch also placed 1,356 Overhead o</w:t>
      </w:r>
      <w:r>
        <w:rPr>
          <w:rFonts w:cs="Calibri"/>
          <w:sz w:val="24"/>
          <w:szCs w:val="24"/>
        </w:rPr>
        <w:t xml:space="preserve">rders with </w:t>
      </w:r>
      <w:r w:rsidR="005E488E">
        <w:rPr>
          <w:rFonts w:cs="Calibri"/>
          <w:sz w:val="24"/>
          <w:szCs w:val="24"/>
        </w:rPr>
        <w:t xml:space="preserve">the </w:t>
      </w:r>
      <w:r>
        <w:rPr>
          <w:rFonts w:cs="Calibri"/>
          <w:sz w:val="24"/>
          <w:szCs w:val="24"/>
        </w:rPr>
        <w:t xml:space="preserve">Rocky Mountain Coordination </w:t>
      </w:r>
      <w:proofErr w:type="gramStart"/>
      <w:r>
        <w:rPr>
          <w:rFonts w:cs="Calibri"/>
          <w:sz w:val="24"/>
          <w:szCs w:val="24"/>
        </w:rPr>
        <w:t>Center</w:t>
      </w:r>
      <w:r w:rsidR="005E488E">
        <w:rPr>
          <w:rFonts w:cs="Calibri"/>
          <w:sz w:val="24"/>
          <w:szCs w:val="24"/>
        </w:rPr>
        <w:t>.</w:t>
      </w:r>
      <w:proofErr w:type="gramEnd"/>
    </w:p>
    <w:p w:rsidR="005E488E" w:rsidRPr="005E488E" w:rsidRDefault="005E488E" w:rsidP="005E488E">
      <w:pPr>
        <w:jc w:val="center"/>
        <w:rPr>
          <w:rFonts w:cs="Calibri"/>
          <w:b/>
          <w:sz w:val="24"/>
          <w:szCs w:val="24"/>
        </w:rPr>
      </w:pPr>
      <w:r w:rsidRPr="005E488E">
        <w:rPr>
          <w:rFonts w:cs="Calibri"/>
          <w:b/>
          <w:sz w:val="24"/>
          <w:szCs w:val="24"/>
        </w:rPr>
        <w:lastRenderedPageBreak/>
        <w:t>Resource Commitments</w:t>
      </w:r>
    </w:p>
    <w:p w:rsidR="00787B6F" w:rsidRDefault="00787B6F" w:rsidP="00787B6F">
      <w:pPr>
        <w:rPr>
          <w:rFonts w:cs="Calibri"/>
          <w:sz w:val="24"/>
          <w:szCs w:val="24"/>
        </w:rPr>
      </w:pPr>
      <w:r>
        <w:rPr>
          <w:rFonts w:cs="Calibri"/>
          <w:sz w:val="24"/>
          <w:szCs w:val="24"/>
        </w:rPr>
        <w:t>In 2012 Rawlins Dispatch supported the following resource commitments:</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Two dispatches for the Green River T2 IA crew</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34 dispatchers brought in to RWC to support operations</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12 Severity engines, some requiring multiple crew swaps</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8 Hand crews (Type 1 and Type-2)</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4 SEAT Managers</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2 HDD engines sent off district</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4 HDD Overhead sent off district</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18 County engines sent off unit</w:t>
      </w:r>
    </w:p>
    <w:p w:rsidR="00787B6F" w:rsidRP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8 County Overhead sent off unit</w:t>
      </w:r>
    </w:p>
    <w:p w:rsidR="00787B6F" w:rsidRDefault="00787B6F" w:rsidP="00787B6F">
      <w:pPr>
        <w:pStyle w:val="ListParagraph"/>
        <w:numPr>
          <w:ilvl w:val="0"/>
          <w:numId w:val="1"/>
        </w:numPr>
        <w:spacing w:after="0" w:line="240" w:lineRule="auto"/>
        <w:rPr>
          <w:rFonts w:cs="Calibri"/>
          <w:sz w:val="24"/>
          <w:szCs w:val="24"/>
        </w:rPr>
      </w:pPr>
      <w:r w:rsidRPr="00787B6F">
        <w:rPr>
          <w:rFonts w:cs="Calibri"/>
          <w:sz w:val="24"/>
          <w:szCs w:val="24"/>
        </w:rPr>
        <w:t>Rawlins SEAT base open for 37 days total</w:t>
      </w:r>
    </w:p>
    <w:p w:rsidR="005E488E" w:rsidRDefault="005E488E" w:rsidP="005E488E">
      <w:pPr>
        <w:spacing w:after="0" w:line="240" w:lineRule="auto"/>
        <w:rPr>
          <w:rFonts w:cs="Calibri"/>
          <w:sz w:val="24"/>
          <w:szCs w:val="24"/>
        </w:rPr>
      </w:pPr>
    </w:p>
    <w:p w:rsidR="00254140" w:rsidRDefault="005E488E" w:rsidP="00254140">
      <w:pPr>
        <w:spacing w:after="0" w:line="240" w:lineRule="auto"/>
        <w:rPr>
          <w:rFonts w:cs="Calibri"/>
          <w:sz w:val="24"/>
          <w:szCs w:val="24"/>
        </w:rPr>
      </w:pPr>
      <w:r>
        <w:rPr>
          <w:rFonts w:cs="Calibri"/>
          <w:sz w:val="24"/>
          <w:szCs w:val="24"/>
        </w:rPr>
        <w:t>Rawlins Dispatch filled 1,381 Overhead orders. This number includes filling local resources to both local and out of area incidents; as well as the reassignment of non-local resources.</w:t>
      </w:r>
    </w:p>
    <w:p w:rsidR="00A60D9B" w:rsidRDefault="00A60D9B" w:rsidP="00254140">
      <w:pPr>
        <w:spacing w:after="0" w:line="240" w:lineRule="auto"/>
        <w:rPr>
          <w:rFonts w:cs="Calibri"/>
          <w:sz w:val="24"/>
          <w:szCs w:val="24"/>
        </w:rPr>
      </w:pPr>
    </w:p>
    <w:p w:rsidR="00A60D9B" w:rsidRDefault="00A60D9B" w:rsidP="00254140">
      <w:pPr>
        <w:spacing w:after="0" w:line="240" w:lineRule="auto"/>
        <w:rPr>
          <w:rFonts w:cs="Calibri"/>
          <w:sz w:val="24"/>
          <w:szCs w:val="24"/>
        </w:rPr>
      </w:pPr>
    </w:p>
    <w:p w:rsidR="00A60D9B" w:rsidRPr="00787B6F" w:rsidRDefault="00A60D9B" w:rsidP="00A60D9B">
      <w:pPr>
        <w:jc w:val="center"/>
        <w:rPr>
          <w:rFonts w:cs="Calibri"/>
          <w:sz w:val="24"/>
          <w:szCs w:val="24"/>
        </w:rPr>
      </w:pPr>
      <w:r w:rsidRPr="00787B6F">
        <w:rPr>
          <w:rFonts w:cs="Calibri"/>
          <w:b/>
          <w:sz w:val="24"/>
          <w:szCs w:val="24"/>
        </w:rPr>
        <w:t>BLM Contracted Type 3 Helicopter</w:t>
      </w:r>
    </w:p>
    <w:p w:rsidR="00A60D9B" w:rsidRPr="00787B6F" w:rsidRDefault="00A60D9B" w:rsidP="00A60D9B">
      <w:pPr>
        <w:rPr>
          <w:rFonts w:cs="Calibri"/>
          <w:sz w:val="24"/>
          <w:szCs w:val="24"/>
        </w:rPr>
      </w:pPr>
      <w:r w:rsidRPr="00787B6F">
        <w:rPr>
          <w:rFonts w:cs="Calibri"/>
          <w:sz w:val="24"/>
          <w:szCs w:val="24"/>
        </w:rPr>
        <w:t>N173BH began its contract on June 14</w:t>
      </w:r>
      <w:r w:rsidRPr="00787B6F">
        <w:rPr>
          <w:rFonts w:cs="Calibri"/>
          <w:sz w:val="24"/>
          <w:szCs w:val="24"/>
          <w:vertAlign w:val="superscript"/>
        </w:rPr>
        <w:t>th</w:t>
      </w:r>
      <w:r w:rsidRPr="00787B6F">
        <w:rPr>
          <w:rFonts w:cs="Calibri"/>
          <w:sz w:val="24"/>
          <w:szCs w:val="24"/>
        </w:rPr>
        <w:t xml:space="preserve">. It was scheduled for a 90 day assignment, but due to late season activity on the High Desert District and elsewhere, it was extended for an additional 21 days. </w:t>
      </w:r>
    </w:p>
    <w:p w:rsidR="00A60D9B" w:rsidRPr="00787B6F" w:rsidRDefault="00A60D9B" w:rsidP="00A60D9B">
      <w:pPr>
        <w:rPr>
          <w:rFonts w:cs="Calibri"/>
          <w:sz w:val="24"/>
          <w:szCs w:val="24"/>
        </w:rPr>
      </w:pPr>
      <w:r w:rsidRPr="00787B6F">
        <w:rPr>
          <w:rFonts w:cs="Calibri"/>
          <w:sz w:val="24"/>
          <w:szCs w:val="24"/>
        </w:rPr>
        <w:t xml:space="preserve">During this time, 3BH flew over 200 hours and participated in 30 assignments outside of the zone. </w:t>
      </w:r>
    </w:p>
    <w:p w:rsidR="00254140" w:rsidRDefault="00254140" w:rsidP="00254140">
      <w:pPr>
        <w:spacing w:after="0" w:line="240" w:lineRule="auto"/>
        <w:rPr>
          <w:rFonts w:cs="Calibri"/>
          <w:b/>
          <w:sz w:val="24"/>
          <w:szCs w:val="24"/>
        </w:rPr>
      </w:pPr>
    </w:p>
    <w:p w:rsidR="00254140" w:rsidRDefault="00254140" w:rsidP="00254140">
      <w:pPr>
        <w:spacing w:after="0" w:line="240" w:lineRule="auto"/>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A60D9B" w:rsidRDefault="00A60D9B" w:rsidP="007B5D16">
      <w:pPr>
        <w:jc w:val="center"/>
        <w:rPr>
          <w:rFonts w:cs="Calibri"/>
          <w:b/>
          <w:sz w:val="24"/>
          <w:szCs w:val="24"/>
        </w:rPr>
      </w:pPr>
    </w:p>
    <w:p w:rsidR="009503DF" w:rsidRPr="00EE2A29" w:rsidRDefault="009503DF" w:rsidP="007B5D16">
      <w:pPr>
        <w:jc w:val="center"/>
        <w:rPr>
          <w:rFonts w:cs="Calibri"/>
          <w:b/>
          <w:sz w:val="24"/>
          <w:szCs w:val="24"/>
        </w:rPr>
      </w:pPr>
      <w:r w:rsidRPr="00EE2A29">
        <w:rPr>
          <w:rFonts w:cs="Calibri"/>
          <w:b/>
          <w:sz w:val="24"/>
          <w:szCs w:val="24"/>
        </w:rPr>
        <w:lastRenderedPageBreak/>
        <w:t>WEATHER</w:t>
      </w:r>
    </w:p>
    <w:p w:rsidR="007B5D16" w:rsidRDefault="009503DF" w:rsidP="007B5D16">
      <w:pPr>
        <w:rPr>
          <w:rFonts w:cs="Calibri"/>
          <w:sz w:val="24"/>
          <w:szCs w:val="24"/>
        </w:rPr>
      </w:pPr>
      <w:r w:rsidRPr="00EE2A29">
        <w:rPr>
          <w:rFonts w:cs="Calibri"/>
          <w:sz w:val="24"/>
          <w:szCs w:val="24"/>
        </w:rPr>
        <w:t>In 201</w:t>
      </w:r>
      <w:r w:rsidR="00B5607F">
        <w:rPr>
          <w:rFonts w:cs="Calibri"/>
          <w:sz w:val="24"/>
          <w:szCs w:val="24"/>
        </w:rPr>
        <w:t>2</w:t>
      </w:r>
      <w:r w:rsidRPr="00EE2A29">
        <w:rPr>
          <w:rFonts w:cs="Calibri"/>
          <w:sz w:val="24"/>
          <w:szCs w:val="24"/>
        </w:rPr>
        <w:t xml:space="preserve"> there were </w:t>
      </w:r>
      <w:r w:rsidR="00B5607F">
        <w:rPr>
          <w:rFonts w:cs="Calibri"/>
          <w:sz w:val="24"/>
          <w:szCs w:val="24"/>
        </w:rPr>
        <w:t>74</w:t>
      </w:r>
      <w:r w:rsidRPr="00EE2A29">
        <w:rPr>
          <w:rFonts w:cs="Calibri"/>
          <w:sz w:val="24"/>
          <w:szCs w:val="24"/>
        </w:rPr>
        <w:t xml:space="preserve"> Fire Weather Watch/Warnings </w:t>
      </w:r>
      <w:r w:rsidR="00B5607F">
        <w:rPr>
          <w:rFonts w:cs="Calibri"/>
          <w:sz w:val="24"/>
          <w:szCs w:val="24"/>
        </w:rPr>
        <w:t>days issued for zones within RWC. The first of these was issued March 28</w:t>
      </w:r>
      <w:r w:rsidR="00B5607F" w:rsidRPr="00B5607F">
        <w:rPr>
          <w:rFonts w:cs="Calibri"/>
          <w:sz w:val="24"/>
          <w:szCs w:val="24"/>
          <w:vertAlign w:val="superscript"/>
        </w:rPr>
        <w:t>th</w:t>
      </w:r>
      <w:r w:rsidR="00B5607F">
        <w:rPr>
          <w:rFonts w:cs="Calibri"/>
          <w:sz w:val="24"/>
          <w:szCs w:val="24"/>
        </w:rPr>
        <w:t xml:space="preserve"> and the last was issued November 28</w:t>
      </w:r>
      <w:r w:rsidR="00B5607F" w:rsidRPr="00B5607F">
        <w:rPr>
          <w:rFonts w:cs="Calibri"/>
          <w:sz w:val="24"/>
          <w:szCs w:val="24"/>
          <w:vertAlign w:val="superscript"/>
        </w:rPr>
        <w:t>th</w:t>
      </w:r>
      <w:r w:rsidR="00B5607F">
        <w:rPr>
          <w:rFonts w:cs="Calibri"/>
          <w:sz w:val="24"/>
          <w:szCs w:val="24"/>
        </w:rPr>
        <w:t>. This is a substantial increase from the 17 total days issued in 2011.</w:t>
      </w:r>
    </w:p>
    <w:p w:rsidR="00442BDA" w:rsidRDefault="00021A84" w:rsidP="007B5D16">
      <w:pPr>
        <w:jc w:val="center"/>
        <w:rPr>
          <w:rFonts w:cs="Calibri"/>
          <w:sz w:val="24"/>
          <w:szCs w:val="24"/>
        </w:rPr>
      </w:pPr>
      <w:r>
        <w:rPr>
          <w:rFonts w:cs="Calibri"/>
          <w:noProof/>
          <w:sz w:val="24"/>
          <w:szCs w:val="24"/>
        </w:rPr>
        <w:drawing>
          <wp:inline distT="0" distB="0" distL="0" distR="0" wp14:anchorId="2ABB4EB9" wp14:editId="6EC7D124">
            <wp:extent cx="5006502" cy="3348331"/>
            <wp:effectExtent l="0" t="0" r="3810" b="5080"/>
            <wp:docPr id="4" name="Picture 4" descr="1304536437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45364379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7900" cy="3349266"/>
                    </a:xfrm>
                    <a:prstGeom prst="rect">
                      <a:avLst/>
                    </a:prstGeom>
                    <a:noFill/>
                    <a:ln>
                      <a:noFill/>
                    </a:ln>
                  </pic:spPr>
                </pic:pic>
              </a:graphicData>
            </a:graphic>
          </wp:inline>
        </w:drawing>
      </w:r>
    </w:p>
    <w:p w:rsidR="00442BDA" w:rsidRPr="00442BDA" w:rsidRDefault="00442BDA" w:rsidP="007B5D16">
      <w:pPr>
        <w:jc w:val="center"/>
        <w:rPr>
          <w:rFonts w:cs="Calibri"/>
          <w:b/>
          <w:sz w:val="24"/>
          <w:szCs w:val="24"/>
        </w:rPr>
      </w:pPr>
      <w:r w:rsidRPr="00442BDA">
        <w:rPr>
          <w:rFonts w:cs="Calibri"/>
          <w:b/>
          <w:sz w:val="24"/>
          <w:szCs w:val="24"/>
        </w:rPr>
        <w:t>RAWS STATIONS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670"/>
        <w:gridCol w:w="642"/>
        <w:gridCol w:w="653"/>
        <w:gridCol w:w="588"/>
        <w:gridCol w:w="852"/>
        <w:gridCol w:w="1187"/>
        <w:gridCol w:w="948"/>
      </w:tblGrid>
      <w:tr w:rsidR="00442BDA" w:rsidRPr="00442BDA" w:rsidTr="00E94EF4">
        <w:trPr>
          <w:trHeight w:val="278"/>
        </w:trPr>
        <w:tc>
          <w:tcPr>
            <w:tcW w:w="2107" w:type="pct"/>
            <w:shd w:val="clear" w:color="auto" w:fill="auto"/>
          </w:tcPr>
          <w:p w:rsidR="00442BDA" w:rsidRPr="00442BDA" w:rsidRDefault="00442BDA" w:rsidP="00442BDA">
            <w:pPr>
              <w:spacing w:after="0"/>
              <w:jc w:val="center"/>
              <w:rPr>
                <w:rFonts w:cs="Calibri"/>
                <w:b/>
                <w:color w:val="943634"/>
                <w:sz w:val="20"/>
                <w:szCs w:val="20"/>
              </w:rPr>
            </w:pPr>
            <w:r w:rsidRPr="00442BDA">
              <w:rPr>
                <w:rFonts w:cs="Calibri"/>
                <w:b/>
                <w:color w:val="943634"/>
                <w:sz w:val="20"/>
                <w:szCs w:val="20"/>
              </w:rPr>
              <w:t>Total Precipitation in Inches</w:t>
            </w:r>
          </w:p>
        </w:tc>
        <w:tc>
          <w:tcPr>
            <w:tcW w:w="350"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April</w:t>
            </w:r>
          </w:p>
        </w:tc>
        <w:tc>
          <w:tcPr>
            <w:tcW w:w="335"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May</w:t>
            </w:r>
          </w:p>
        </w:tc>
        <w:tc>
          <w:tcPr>
            <w:tcW w:w="341"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June</w:t>
            </w:r>
          </w:p>
        </w:tc>
        <w:tc>
          <w:tcPr>
            <w:tcW w:w="307"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July</w:t>
            </w:r>
          </w:p>
        </w:tc>
        <w:tc>
          <w:tcPr>
            <w:tcW w:w="445"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August</w:t>
            </w:r>
          </w:p>
        </w:tc>
        <w:tc>
          <w:tcPr>
            <w:tcW w:w="620"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September</w:t>
            </w:r>
          </w:p>
        </w:tc>
        <w:tc>
          <w:tcPr>
            <w:tcW w:w="495" w:type="pct"/>
            <w:shd w:val="clear" w:color="auto" w:fill="auto"/>
          </w:tcPr>
          <w:p w:rsidR="00442BDA" w:rsidRPr="00442BDA" w:rsidRDefault="00442BDA" w:rsidP="00442BDA">
            <w:pPr>
              <w:spacing w:after="0"/>
              <w:jc w:val="center"/>
              <w:rPr>
                <w:rFonts w:cs="Calibri"/>
                <w:b/>
                <w:sz w:val="16"/>
                <w:szCs w:val="16"/>
              </w:rPr>
            </w:pPr>
            <w:r w:rsidRPr="00442BDA">
              <w:rPr>
                <w:rFonts w:cs="Calibri"/>
                <w:b/>
                <w:sz w:val="16"/>
                <w:szCs w:val="16"/>
              </w:rPr>
              <w:t>October</w:t>
            </w:r>
          </w:p>
        </w:tc>
      </w:tr>
      <w:tr w:rsidR="00442BDA" w:rsidRPr="00442BDA" w:rsidTr="00E94EF4">
        <w:tc>
          <w:tcPr>
            <w:tcW w:w="2107" w:type="pct"/>
            <w:shd w:val="clear" w:color="auto" w:fill="auto"/>
          </w:tcPr>
          <w:p w:rsidR="00442BDA" w:rsidRPr="00442BDA" w:rsidRDefault="00442BDA" w:rsidP="00442BDA">
            <w:pPr>
              <w:spacing w:after="0"/>
              <w:rPr>
                <w:rFonts w:cs="Calibri"/>
                <w:sz w:val="16"/>
                <w:szCs w:val="16"/>
              </w:rPr>
            </w:pPr>
            <w:r w:rsidRPr="00442BDA">
              <w:rPr>
                <w:rFonts w:cs="Calibri"/>
                <w:b/>
                <w:sz w:val="20"/>
                <w:szCs w:val="20"/>
              </w:rPr>
              <w:t xml:space="preserve">Snow Spring Creek </w:t>
            </w:r>
            <w:r w:rsidRPr="00442BDA">
              <w:rPr>
                <w:rFonts w:cs="Calibri"/>
                <w:b/>
                <w:sz w:val="16"/>
                <w:szCs w:val="16"/>
              </w:rPr>
              <w:t>(Sweetwater County)</w:t>
            </w:r>
          </w:p>
        </w:tc>
        <w:tc>
          <w:tcPr>
            <w:tcW w:w="350" w:type="pct"/>
            <w:shd w:val="clear" w:color="auto" w:fill="auto"/>
          </w:tcPr>
          <w:p w:rsidR="00442BDA" w:rsidRPr="00442BDA" w:rsidRDefault="00442BDA" w:rsidP="00442BDA">
            <w:pPr>
              <w:spacing w:after="0"/>
              <w:jc w:val="center"/>
              <w:rPr>
                <w:rFonts w:cs="Calibri"/>
                <w:sz w:val="20"/>
                <w:szCs w:val="20"/>
              </w:rPr>
            </w:pPr>
            <w:r w:rsidRPr="00442BDA">
              <w:rPr>
                <w:rFonts w:cs="Calibri"/>
                <w:sz w:val="20"/>
                <w:szCs w:val="20"/>
              </w:rPr>
              <w:t>.</w:t>
            </w:r>
            <w:r>
              <w:rPr>
                <w:rFonts w:cs="Calibri"/>
                <w:sz w:val="20"/>
                <w:szCs w:val="20"/>
              </w:rPr>
              <w:t>27</w:t>
            </w:r>
          </w:p>
        </w:tc>
        <w:tc>
          <w:tcPr>
            <w:tcW w:w="335" w:type="pct"/>
            <w:shd w:val="clear" w:color="auto" w:fill="auto"/>
          </w:tcPr>
          <w:p w:rsidR="00442BDA" w:rsidRPr="00442BDA" w:rsidRDefault="00442BDA" w:rsidP="00442BDA">
            <w:pPr>
              <w:spacing w:after="0"/>
              <w:jc w:val="center"/>
              <w:rPr>
                <w:rFonts w:cs="Calibri"/>
                <w:sz w:val="20"/>
                <w:szCs w:val="20"/>
              </w:rPr>
            </w:pPr>
            <w:r>
              <w:rPr>
                <w:rFonts w:cs="Calibri"/>
                <w:sz w:val="20"/>
                <w:szCs w:val="20"/>
              </w:rPr>
              <w:t>.50</w:t>
            </w:r>
          </w:p>
        </w:tc>
        <w:tc>
          <w:tcPr>
            <w:tcW w:w="341" w:type="pct"/>
            <w:shd w:val="clear" w:color="auto" w:fill="auto"/>
          </w:tcPr>
          <w:p w:rsidR="00442BDA" w:rsidRPr="00442BDA" w:rsidRDefault="00442BDA" w:rsidP="00442BDA">
            <w:pPr>
              <w:spacing w:after="0"/>
              <w:jc w:val="center"/>
              <w:rPr>
                <w:rFonts w:cs="Calibri"/>
                <w:sz w:val="20"/>
                <w:szCs w:val="20"/>
              </w:rPr>
            </w:pPr>
            <w:r>
              <w:rPr>
                <w:rFonts w:cs="Calibri"/>
                <w:sz w:val="20"/>
                <w:szCs w:val="20"/>
              </w:rPr>
              <w:t>.01</w:t>
            </w:r>
          </w:p>
        </w:tc>
        <w:tc>
          <w:tcPr>
            <w:tcW w:w="307" w:type="pct"/>
            <w:shd w:val="clear" w:color="auto" w:fill="auto"/>
          </w:tcPr>
          <w:p w:rsidR="00442BDA" w:rsidRPr="00442BDA" w:rsidRDefault="00442BDA" w:rsidP="00442BDA">
            <w:pPr>
              <w:spacing w:after="0"/>
              <w:jc w:val="center"/>
              <w:rPr>
                <w:rFonts w:cs="Calibri"/>
                <w:sz w:val="20"/>
                <w:szCs w:val="20"/>
              </w:rPr>
            </w:pPr>
            <w:r w:rsidRPr="00442BDA">
              <w:rPr>
                <w:rFonts w:cs="Calibri"/>
                <w:sz w:val="20"/>
                <w:szCs w:val="20"/>
              </w:rPr>
              <w:t>.</w:t>
            </w:r>
            <w:r>
              <w:rPr>
                <w:rFonts w:cs="Calibri"/>
                <w:sz w:val="20"/>
                <w:szCs w:val="20"/>
              </w:rPr>
              <w:t>91</w:t>
            </w:r>
          </w:p>
        </w:tc>
        <w:tc>
          <w:tcPr>
            <w:tcW w:w="445" w:type="pct"/>
            <w:shd w:val="clear" w:color="auto" w:fill="auto"/>
          </w:tcPr>
          <w:p w:rsidR="00442BDA" w:rsidRPr="00442BDA" w:rsidRDefault="00442BDA" w:rsidP="00442BDA">
            <w:pPr>
              <w:spacing w:after="0"/>
              <w:jc w:val="center"/>
              <w:rPr>
                <w:rFonts w:cs="Calibri"/>
                <w:sz w:val="20"/>
                <w:szCs w:val="20"/>
              </w:rPr>
            </w:pPr>
            <w:r w:rsidRPr="00442BDA">
              <w:rPr>
                <w:rFonts w:cs="Calibri"/>
                <w:sz w:val="20"/>
                <w:szCs w:val="20"/>
              </w:rPr>
              <w:t>.</w:t>
            </w:r>
            <w:r>
              <w:rPr>
                <w:rFonts w:cs="Calibri"/>
                <w:sz w:val="20"/>
                <w:szCs w:val="20"/>
              </w:rPr>
              <w:t>33</w:t>
            </w:r>
          </w:p>
        </w:tc>
        <w:tc>
          <w:tcPr>
            <w:tcW w:w="620" w:type="pct"/>
            <w:shd w:val="clear" w:color="auto" w:fill="auto"/>
          </w:tcPr>
          <w:p w:rsidR="00442BDA" w:rsidRPr="00442BDA" w:rsidRDefault="00442BDA" w:rsidP="00442BDA">
            <w:pPr>
              <w:spacing w:after="0"/>
              <w:jc w:val="center"/>
              <w:rPr>
                <w:rFonts w:cs="Calibri"/>
                <w:sz w:val="20"/>
                <w:szCs w:val="20"/>
              </w:rPr>
            </w:pPr>
            <w:r w:rsidRPr="00442BDA">
              <w:rPr>
                <w:rFonts w:cs="Calibri"/>
                <w:sz w:val="20"/>
                <w:szCs w:val="20"/>
              </w:rPr>
              <w:t>.</w:t>
            </w:r>
            <w:r>
              <w:rPr>
                <w:rFonts w:cs="Calibri"/>
                <w:sz w:val="20"/>
                <w:szCs w:val="20"/>
              </w:rPr>
              <w:t>08</w:t>
            </w:r>
          </w:p>
        </w:tc>
        <w:tc>
          <w:tcPr>
            <w:tcW w:w="495" w:type="pct"/>
            <w:shd w:val="clear" w:color="auto" w:fill="auto"/>
          </w:tcPr>
          <w:p w:rsidR="00442BDA" w:rsidRPr="00442BDA" w:rsidRDefault="00442BDA" w:rsidP="00442BDA">
            <w:pPr>
              <w:spacing w:after="0"/>
              <w:jc w:val="center"/>
              <w:rPr>
                <w:rFonts w:cs="Calibri"/>
                <w:sz w:val="20"/>
                <w:szCs w:val="20"/>
              </w:rPr>
            </w:pPr>
            <w:r w:rsidRPr="00442BDA">
              <w:rPr>
                <w:rFonts w:cs="Calibri"/>
                <w:sz w:val="20"/>
                <w:szCs w:val="20"/>
              </w:rPr>
              <w:t>.</w:t>
            </w:r>
            <w:r>
              <w:rPr>
                <w:rFonts w:cs="Calibri"/>
                <w:sz w:val="20"/>
                <w:szCs w:val="20"/>
              </w:rPr>
              <w:t>59</w:t>
            </w: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Dodge Creek </w:t>
            </w:r>
            <w:r w:rsidRPr="00442BDA">
              <w:rPr>
                <w:rFonts w:cs="Calibri"/>
                <w:b/>
                <w:sz w:val="16"/>
                <w:szCs w:val="16"/>
              </w:rPr>
              <w:t>(Albany County)</w:t>
            </w:r>
          </w:p>
        </w:tc>
        <w:tc>
          <w:tcPr>
            <w:tcW w:w="350" w:type="pct"/>
            <w:shd w:val="clear" w:color="auto" w:fill="auto"/>
          </w:tcPr>
          <w:p w:rsidR="00442BDA" w:rsidRPr="00442BDA" w:rsidRDefault="00442BDA" w:rsidP="00442BDA">
            <w:pPr>
              <w:spacing w:after="0"/>
              <w:jc w:val="center"/>
              <w:rPr>
                <w:rFonts w:cs="Calibri"/>
                <w:sz w:val="20"/>
                <w:szCs w:val="20"/>
              </w:rPr>
            </w:pPr>
            <w:r>
              <w:rPr>
                <w:rFonts w:cs="Calibri"/>
                <w:sz w:val="20"/>
                <w:szCs w:val="20"/>
              </w:rPr>
              <w:t>.92</w:t>
            </w:r>
          </w:p>
        </w:tc>
        <w:tc>
          <w:tcPr>
            <w:tcW w:w="335" w:type="pct"/>
            <w:shd w:val="clear" w:color="auto" w:fill="auto"/>
          </w:tcPr>
          <w:p w:rsidR="00442BDA" w:rsidRPr="00442BDA" w:rsidRDefault="00442BDA" w:rsidP="00442BDA">
            <w:pPr>
              <w:spacing w:after="0"/>
              <w:jc w:val="center"/>
              <w:rPr>
                <w:rFonts w:cs="Calibri"/>
                <w:sz w:val="20"/>
                <w:szCs w:val="20"/>
              </w:rPr>
            </w:pPr>
            <w:r>
              <w:rPr>
                <w:rFonts w:cs="Calibri"/>
                <w:sz w:val="20"/>
                <w:szCs w:val="20"/>
              </w:rPr>
              <w:t>.54</w:t>
            </w:r>
          </w:p>
        </w:tc>
        <w:tc>
          <w:tcPr>
            <w:tcW w:w="341" w:type="pct"/>
            <w:shd w:val="clear" w:color="auto" w:fill="auto"/>
          </w:tcPr>
          <w:p w:rsidR="00442BDA" w:rsidRPr="00442BDA" w:rsidRDefault="00442BDA" w:rsidP="00442BDA">
            <w:pPr>
              <w:spacing w:after="0"/>
              <w:jc w:val="center"/>
              <w:rPr>
                <w:rFonts w:cs="Calibri"/>
                <w:sz w:val="20"/>
                <w:szCs w:val="20"/>
              </w:rPr>
            </w:pPr>
            <w:r>
              <w:rPr>
                <w:rFonts w:cs="Calibri"/>
                <w:sz w:val="20"/>
                <w:szCs w:val="20"/>
              </w:rPr>
              <w:t>.01</w:t>
            </w:r>
          </w:p>
        </w:tc>
        <w:tc>
          <w:tcPr>
            <w:tcW w:w="307" w:type="pct"/>
            <w:shd w:val="clear" w:color="auto" w:fill="auto"/>
          </w:tcPr>
          <w:p w:rsidR="00442BDA" w:rsidRPr="00442BDA" w:rsidRDefault="00442BDA" w:rsidP="00442BDA">
            <w:pPr>
              <w:spacing w:after="0"/>
              <w:jc w:val="center"/>
              <w:rPr>
                <w:rFonts w:cs="Calibri"/>
                <w:sz w:val="20"/>
                <w:szCs w:val="20"/>
              </w:rPr>
            </w:pPr>
            <w:r>
              <w:rPr>
                <w:rFonts w:cs="Calibri"/>
                <w:sz w:val="20"/>
                <w:szCs w:val="20"/>
              </w:rPr>
              <w:t>.7</w:t>
            </w:r>
          </w:p>
        </w:tc>
        <w:tc>
          <w:tcPr>
            <w:tcW w:w="445" w:type="pct"/>
            <w:shd w:val="clear" w:color="auto" w:fill="auto"/>
          </w:tcPr>
          <w:p w:rsidR="00442BDA" w:rsidRPr="00442BDA" w:rsidRDefault="00442BDA" w:rsidP="00442BDA">
            <w:pPr>
              <w:spacing w:after="0"/>
              <w:jc w:val="center"/>
              <w:rPr>
                <w:rFonts w:cs="Calibri"/>
                <w:sz w:val="20"/>
                <w:szCs w:val="20"/>
              </w:rPr>
            </w:pPr>
            <w:r>
              <w:rPr>
                <w:rFonts w:cs="Calibri"/>
                <w:sz w:val="20"/>
                <w:szCs w:val="20"/>
              </w:rPr>
              <w:t>.56</w:t>
            </w:r>
          </w:p>
        </w:tc>
        <w:tc>
          <w:tcPr>
            <w:tcW w:w="620" w:type="pct"/>
            <w:shd w:val="clear" w:color="auto" w:fill="auto"/>
          </w:tcPr>
          <w:p w:rsidR="00442BDA" w:rsidRPr="00442BDA" w:rsidRDefault="00442BDA" w:rsidP="00442BDA">
            <w:pPr>
              <w:spacing w:after="0"/>
              <w:jc w:val="center"/>
              <w:rPr>
                <w:rFonts w:cs="Calibri"/>
                <w:sz w:val="20"/>
                <w:szCs w:val="20"/>
              </w:rPr>
            </w:pPr>
            <w:r>
              <w:rPr>
                <w:rFonts w:cs="Calibri"/>
                <w:sz w:val="20"/>
                <w:szCs w:val="20"/>
              </w:rPr>
              <w:t>1.21</w:t>
            </w:r>
          </w:p>
        </w:tc>
        <w:tc>
          <w:tcPr>
            <w:tcW w:w="495" w:type="pct"/>
            <w:shd w:val="clear" w:color="auto" w:fill="auto"/>
          </w:tcPr>
          <w:p w:rsidR="00442BDA" w:rsidRPr="00442BDA" w:rsidRDefault="00442BDA" w:rsidP="00442BDA">
            <w:pPr>
              <w:spacing w:after="0"/>
              <w:jc w:val="center"/>
              <w:rPr>
                <w:rFonts w:cs="Calibri"/>
                <w:sz w:val="20"/>
                <w:szCs w:val="20"/>
              </w:rPr>
            </w:pPr>
            <w:r>
              <w:rPr>
                <w:rFonts w:cs="Calibri"/>
                <w:sz w:val="20"/>
                <w:szCs w:val="20"/>
              </w:rPr>
              <w:t>.37</w:t>
            </w: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Muddy Creek </w:t>
            </w:r>
            <w:r w:rsidRPr="00442BDA">
              <w:rPr>
                <w:rFonts w:cs="Calibri"/>
                <w:b/>
                <w:sz w:val="16"/>
                <w:szCs w:val="16"/>
              </w:rPr>
              <w:t>(Uinta County)</w:t>
            </w:r>
          </w:p>
        </w:tc>
        <w:tc>
          <w:tcPr>
            <w:tcW w:w="350" w:type="pct"/>
            <w:shd w:val="clear" w:color="auto" w:fill="auto"/>
          </w:tcPr>
          <w:p w:rsidR="00442BDA" w:rsidRPr="00442BDA" w:rsidRDefault="00442BDA" w:rsidP="00442BDA">
            <w:pPr>
              <w:spacing w:after="0"/>
              <w:jc w:val="center"/>
              <w:rPr>
                <w:rFonts w:cs="Calibri"/>
                <w:sz w:val="20"/>
                <w:szCs w:val="20"/>
              </w:rPr>
            </w:pPr>
            <w:r>
              <w:rPr>
                <w:rFonts w:cs="Calibri"/>
                <w:sz w:val="20"/>
                <w:szCs w:val="20"/>
              </w:rPr>
              <w:t>.33</w:t>
            </w:r>
          </w:p>
        </w:tc>
        <w:tc>
          <w:tcPr>
            <w:tcW w:w="335" w:type="pct"/>
            <w:shd w:val="clear" w:color="auto" w:fill="auto"/>
          </w:tcPr>
          <w:p w:rsidR="00442BDA" w:rsidRPr="00442BDA" w:rsidRDefault="00442BDA" w:rsidP="00442BDA">
            <w:pPr>
              <w:spacing w:after="0"/>
              <w:jc w:val="center"/>
              <w:rPr>
                <w:rFonts w:cs="Calibri"/>
                <w:sz w:val="20"/>
                <w:szCs w:val="20"/>
              </w:rPr>
            </w:pPr>
            <w:r>
              <w:rPr>
                <w:rFonts w:cs="Calibri"/>
                <w:sz w:val="20"/>
                <w:szCs w:val="20"/>
              </w:rPr>
              <w:t>.24</w:t>
            </w:r>
          </w:p>
        </w:tc>
        <w:tc>
          <w:tcPr>
            <w:tcW w:w="341" w:type="pct"/>
            <w:shd w:val="clear" w:color="auto" w:fill="auto"/>
          </w:tcPr>
          <w:p w:rsidR="00442BDA" w:rsidRPr="00442BDA" w:rsidRDefault="00442BDA" w:rsidP="00442BDA">
            <w:pPr>
              <w:spacing w:after="0"/>
              <w:jc w:val="center"/>
              <w:rPr>
                <w:rFonts w:cs="Calibri"/>
                <w:sz w:val="20"/>
                <w:szCs w:val="20"/>
              </w:rPr>
            </w:pPr>
            <w:r>
              <w:rPr>
                <w:rFonts w:cs="Calibri"/>
                <w:sz w:val="20"/>
                <w:szCs w:val="20"/>
              </w:rPr>
              <w:t>.00</w:t>
            </w:r>
          </w:p>
        </w:tc>
        <w:tc>
          <w:tcPr>
            <w:tcW w:w="307" w:type="pct"/>
            <w:shd w:val="clear" w:color="auto" w:fill="auto"/>
          </w:tcPr>
          <w:p w:rsidR="00442BDA" w:rsidRPr="00442BDA" w:rsidRDefault="00442BDA" w:rsidP="00442BDA">
            <w:pPr>
              <w:spacing w:after="0"/>
              <w:jc w:val="center"/>
              <w:rPr>
                <w:rFonts w:cs="Calibri"/>
                <w:sz w:val="20"/>
                <w:szCs w:val="20"/>
              </w:rPr>
            </w:pPr>
            <w:r>
              <w:rPr>
                <w:rFonts w:cs="Calibri"/>
                <w:sz w:val="20"/>
                <w:szCs w:val="20"/>
              </w:rPr>
              <w:t>.34</w:t>
            </w:r>
          </w:p>
        </w:tc>
        <w:tc>
          <w:tcPr>
            <w:tcW w:w="445" w:type="pct"/>
            <w:shd w:val="clear" w:color="auto" w:fill="auto"/>
          </w:tcPr>
          <w:p w:rsidR="00442BDA" w:rsidRPr="00442BDA" w:rsidRDefault="00442BDA" w:rsidP="00442BDA">
            <w:pPr>
              <w:spacing w:after="0"/>
              <w:jc w:val="center"/>
              <w:rPr>
                <w:rFonts w:cs="Calibri"/>
                <w:sz w:val="20"/>
                <w:szCs w:val="20"/>
              </w:rPr>
            </w:pPr>
            <w:r>
              <w:rPr>
                <w:rFonts w:cs="Calibri"/>
                <w:sz w:val="20"/>
                <w:szCs w:val="20"/>
              </w:rPr>
              <w:t>.03</w:t>
            </w:r>
          </w:p>
        </w:tc>
        <w:tc>
          <w:tcPr>
            <w:tcW w:w="620" w:type="pct"/>
            <w:shd w:val="clear" w:color="auto" w:fill="auto"/>
          </w:tcPr>
          <w:p w:rsidR="00442BDA" w:rsidRPr="00442BDA" w:rsidRDefault="00442BDA" w:rsidP="00442BDA">
            <w:pPr>
              <w:spacing w:after="0"/>
              <w:jc w:val="center"/>
              <w:rPr>
                <w:rFonts w:cs="Calibri"/>
                <w:sz w:val="20"/>
                <w:szCs w:val="20"/>
              </w:rPr>
            </w:pPr>
            <w:r>
              <w:rPr>
                <w:rFonts w:cs="Calibri"/>
                <w:sz w:val="20"/>
                <w:szCs w:val="20"/>
              </w:rPr>
              <w:t>.65</w:t>
            </w:r>
          </w:p>
        </w:tc>
        <w:tc>
          <w:tcPr>
            <w:tcW w:w="495" w:type="pct"/>
            <w:shd w:val="clear" w:color="auto" w:fill="auto"/>
          </w:tcPr>
          <w:p w:rsidR="00442BDA" w:rsidRPr="00442BDA" w:rsidRDefault="00442BDA" w:rsidP="00442BDA">
            <w:pPr>
              <w:spacing w:after="0"/>
              <w:jc w:val="center"/>
              <w:rPr>
                <w:rFonts w:cs="Calibri"/>
                <w:sz w:val="20"/>
                <w:szCs w:val="20"/>
              </w:rPr>
            </w:pPr>
            <w:r>
              <w:rPr>
                <w:rFonts w:cs="Calibri"/>
                <w:sz w:val="20"/>
                <w:szCs w:val="20"/>
              </w:rPr>
              <w:t>.83</w:t>
            </w: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Anderson Ridge </w:t>
            </w:r>
            <w:r w:rsidRPr="00442BDA">
              <w:rPr>
                <w:rFonts w:cs="Calibri"/>
                <w:b/>
                <w:sz w:val="16"/>
                <w:szCs w:val="16"/>
              </w:rPr>
              <w:t>(Sublette County)</w:t>
            </w:r>
          </w:p>
        </w:tc>
        <w:tc>
          <w:tcPr>
            <w:tcW w:w="350" w:type="pct"/>
            <w:shd w:val="clear" w:color="auto" w:fill="auto"/>
          </w:tcPr>
          <w:p w:rsidR="00442BDA" w:rsidRPr="00442BDA" w:rsidRDefault="00442BDA" w:rsidP="00442BDA">
            <w:pPr>
              <w:spacing w:after="0"/>
              <w:jc w:val="center"/>
              <w:rPr>
                <w:rFonts w:cs="Calibri"/>
                <w:sz w:val="20"/>
                <w:szCs w:val="20"/>
              </w:rPr>
            </w:pPr>
            <w:r>
              <w:rPr>
                <w:rFonts w:cs="Calibri"/>
                <w:sz w:val="20"/>
                <w:szCs w:val="20"/>
              </w:rPr>
              <w:t>.24</w:t>
            </w:r>
          </w:p>
        </w:tc>
        <w:tc>
          <w:tcPr>
            <w:tcW w:w="335" w:type="pct"/>
            <w:shd w:val="clear" w:color="auto" w:fill="auto"/>
          </w:tcPr>
          <w:p w:rsidR="00442BDA" w:rsidRPr="00442BDA" w:rsidRDefault="00442BDA" w:rsidP="00442BDA">
            <w:pPr>
              <w:spacing w:after="0"/>
              <w:jc w:val="center"/>
              <w:rPr>
                <w:rFonts w:cs="Calibri"/>
                <w:sz w:val="20"/>
                <w:szCs w:val="20"/>
              </w:rPr>
            </w:pPr>
            <w:r>
              <w:rPr>
                <w:rFonts w:cs="Calibri"/>
                <w:sz w:val="20"/>
                <w:szCs w:val="20"/>
              </w:rPr>
              <w:t>.57</w:t>
            </w:r>
          </w:p>
        </w:tc>
        <w:tc>
          <w:tcPr>
            <w:tcW w:w="341" w:type="pct"/>
            <w:shd w:val="clear" w:color="auto" w:fill="auto"/>
          </w:tcPr>
          <w:p w:rsidR="00442BDA" w:rsidRPr="00442BDA" w:rsidRDefault="00442BDA" w:rsidP="00442BDA">
            <w:pPr>
              <w:spacing w:after="0"/>
              <w:jc w:val="center"/>
              <w:rPr>
                <w:rFonts w:cs="Calibri"/>
                <w:sz w:val="20"/>
                <w:szCs w:val="20"/>
              </w:rPr>
            </w:pPr>
            <w:r>
              <w:rPr>
                <w:rFonts w:cs="Calibri"/>
                <w:sz w:val="20"/>
                <w:szCs w:val="20"/>
              </w:rPr>
              <w:t>.01</w:t>
            </w:r>
          </w:p>
        </w:tc>
        <w:tc>
          <w:tcPr>
            <w:tcW w:w="307" w:type="pct"/>
            <w:shd w:val="clear" w:color="auto" w:fill="auto"/>
          </w:tcPr>
          <w:p w:rsidR="00442BDA" w:rsidRPr="00442BDA" w:rsidRDefault="00442BDA" w:rsidP="00442BDA">
            <w:pPr>
              <w:spacing w:after="0"/>
              <w:jc w:val="center"/>
              <w:rPr>
                <w:rFonts w:cs="Calibri"/>
                <w:sz w:val="20"/>
                <w:szCs w:val="20"/>
              </w:rPr>
            </w:pPr>
            <w:r>
              <w:rPr>
                <w:rFonts w:cs="Calibri"/>
                <w:sz w:val="20"/>
                <w:szCs w:val="20"/>
              </w:rPr>
              <w:t>.25</w:t>
            </w:r>
          </w:p>
        </w:tc>
        <w:tc>
          <w:tcPr>
            <w:tcW w:w="445" w:type="pct"/>
            <w:shd w:val="clear" w:color="auto" w:fill="auto"/>
          </w:tcPr>
          <w:p w:rsidR="00442BDA" w:rsidRPr="00442BDA" w:rsidRDefault="00442BDA" w:rsidP="00442BDA">
            <w:pPr>
              <w:spacing w:after="0"/>
              <w:jc w:val="center"/>
              <w:rPr>
                <w:rFonts w:cs="Calibri"/>
                <w:sz w:val="20"/>
                <w:szCs w:val="20"/>
              </w:rPr>
            </w:pPr>
            <w:r>
              <w:rPr>
                <w:rFonts w:cs="Calibri"/>
                <w:sz w:val="20"/>
                <w:szCs w:val="20"/>
              </w:rPr>
              <w:t>.45</w:t>
            </w:r>
          </w:p>
        </w:tc>
        <w:tc>
          <w:tcPr>
            <w:tcW w:w="620" w:type="pct"/>
            <w:shd w:val="clear" w:color="auto" w:fill="auto"/>
          </w:tcPr>
          <w:p w:rsidR="00442BDA" w:rsidRPr="00442BDA" w:rsidRDefault="00442BDA" w:rsidP="00442BDA">
            <w:pPr>
              <w:spacing w:after="0"/>
              <w:jc w:val="center"/>
              <w:rPr>
                <w:rFonts w:cs="Calibri"/>
                <w:sz w:val="20"/>
                <w:szCs w:val="20"/>
              </w:rPr>
            </w:pPr>
            <w:r>
              <w:rPr>
                <w:rFonts w:cs="Calibri"/>
                <w:sz w:val="20"/>
                <w:szCs w:val="20"/>
              </w:rPr>
              <w:t>.63</w:t>
            </w:r>
          </w:p>
        </w:tc>
        <w:tc>
          <w:tcPr>
            <w:tcW w:w="495" w:type="pct"/>
            <w:shd w:val="clear" w:color="auto" w:fill="auto"/>
          </w:tcPr>
          <w:p w:rsidR="00442BDA" w:rsidRPr="00442BDA" w:rsidRDefault="00442BDA" w:rsidP="00442BDA">
            <w:pPr>
              <w:spacing w:after="0"/>
              <w:jc w:val="center"/>
              <w:rPr>
                <w:rFonts w:cs="Calibri"/>
                <w:sz w:val="20"/>
                <w:szCs w:val="20"/>
              </w:rPr>
            </w:pPr>
            <w:r>
              <w:rPr>
                <w:rFonts w:cs="Calibri"/>
                <w:sz w:val="20"/>
                <w:szCs w:val="20"/>
              </w:rPr>
              <w:t>1.1</w:t>
            </w:r>
          </w:p>
        </w:tc>
      </w:tr>
      <w:tr w:rsidR="00442BDA" w:rsidRPr="00442BDA" w:rsidTr="00E94EF4">
        <w:tc>
          <w:tcPr>
            <w:tcW w:w="2107" w:type="pct"/>
            <w:shd w:val="clear" w:color="auto" w:fill="auto"/>
          </w:tcPr>
          <w:p w:rsidR="00442BDA" w:rsidRPr="00442BDA" w:rsidRDefault="00442BDA" w:rsidP="00442BDA">
            <w:pPr>
              <w:spacing w:after="0"/>
              <w:jc w:val="both"/>
              <w:rPr>
                <w:rFonts w:cs="Calibri"/>
                <w:b/>
                <w:sz w:val="16"/>
                <w:szCs w:val="16"/>
              </w:rPr>
            </w:pPr>
            <w:r w:rsidRPr="00442BDA">
              <w:rPr>
                <w:rFonts w:cs="Calibri"/>
                <w:b/>
                <w:sz w:val="20"/>
                <w:szCs w:val="20"/>
              </w:rPr>
              <w:t xml:space="preserve">Cow Creek </w:t>
            </w:r>
            <w:r w:rsidRPr="00442BDA">
              <w:rPr>
                <w:rFonts w:cs="Calibri"/>
                <w:b/>
                <w:sz w:val="16"/>
                <w:szCs w:val="16"/>
              </w:rPr>
              <w:t>(Carbon County)</w:t>
            </w:r>
          </w:p>
        </w:tc>
        <w:tc>
          <w:tcPr>
            <w:tcW w:w="350" w:type="pct"/>
            <w:shd w:val="clear" w:color="auto" w:fill="auto"/>
          </w:tcPr>
          <w:p w:rsidR="00442BDA" w:rsidRPr="00442BDA" w:rsidRDefault="00442BDA" w:rsidP="00442BDA">
            <w:pPr>
              <w:spacing w:after="0"/>
              <w:jc w:val="center"/>
              <w:rPr>
                <w:rFonts w:cs="Calibri"/>
                <w:sz w:val="20"/>
                <w:szCs w:val="20"/>
              </w:rPr>
            </w:pPr>
            <w:r>
              <w:rPr>
                <w:rFonts w:cs="Calibri"/>
                <w:sz w:val="20"/>
                <w:szCs w:val="20"/>
              </w:rPr>
              <w:t>.27</w:t>
            </w:r>
          </w:p>
        </w:tc>
        <w:tc>
          <w:tcPr>
            <w:tcW w:w="335" w:type="pct"/>
            <w:shd w:val="clear" w:color="auto" w:fill="auto"/>
          </w:tcPr>
          <w:p w:rsidR="00442BDA" w:rsidRPr="00442BDA" w:rsidRDefault="00442BDA" w:rsidP="00442BDA">
            <w:pPr>
              <w:spacing w:after="0"/>
              <w:jc w:val="center"/>
              <w:rPr>
                <w:rFonts w:cs="Calibri"/>
                <w:sz w:val="20"/>
                <w:szCs w:val="20"/>
              </w:rPr>
            </w:pPr>
            <w:r>
              <w:rPr>
                <w:rFonts w:cs="Calibri"/>
                <w:sz w:val="20"/>
                <w:szCs w:val="20"/>
              </w:rPr>
              <w:t>.51</w:t>
            </w:r>
          </w:p>
        </w:tc>
        <w:tc>
          <w:tcPr>
            <w:tcW w:w="341" w:type="pct"/>
            <w:shd w:val="clear" w:color="auto" w:fill="auto"/>
          </w:tcPr>
          <w:p w:rsidR="00442BDA" w:rsidRPr="00442BDA" w:rsidRDefault="00442BDA" w:rsidP="00442BDA">
            <w:pPr>
              <w:spacing w:after="0"/>
              <w:jc w:val="center"/>
              <w:rPr>
                <w:rFonts w:cs="Calibri"/>
                <w:sz w:val="20"/>
                <w:szCs w:val="20"/>
              </w:rPr>
            </w:pPr>
            <w:r>
              <w:rPr>
                <w:rFonts w:cs="Calibri"/>
                <w:sz w:val="20"/>
                <w:szCs w:val="20"/>
              </w:rPr>
              <w:t>.02</w:t>
            </w:r>
          </w:p>
        </w:tc>
        <w:tc>
          <w:tcPr>
            <w:tcW w:w="307" w:type="pct"/>
            <w:shd w:val="clear" w:color="auto" w:fill="auto"/>
          </w:tcPr>
          <w:p w:rsidR="00442BDA" w:rsidRPr="00442BDA" w:rsidRDefault="00442BDA" w:rsidP="00442BDA">
            <w:pPr>
              <w:spacing w:after="0"/>
              <w:jc w:val="center"/>
              <w:rPr>
                <w:rFonts w:cs="Calibri"/>
                <w:sz w:val="20"/>
                <w:szCs w:val="20"/>
              </w:rPr>
            </w:pPr>
            <w:r>
              <w:rPr>
                <w:rFonts w:cs="Calibri"/>
                <w:sz w:val="20"/>
                <w:szCs w:val="20"/>
              </w:rPr>
              <w:t>.89</w:t>
            </w:r>
          </w:p>
        </w:tc>
        <w:tc>
          <w:tcPr>
            <w:tcW w:w="445" w:type="pct"/>
            <w:shd w:val="clear" w:color="auto" w:fill="auto"/>
          </w:tcPr>
          <w:p w:rsidR="00442BDA" w:rsidRPr="00442BDA" w:rsidRDefault="00442BDA" w:rsidP="00442BDA">
            <w:pPr>
              <w:spacing w:after="0"/>
              <w:jc w:val="center"/>
              <w:rPr>
                <w:rFonts w:cs="Calibri"/>
                <w:sz w:val="20"/>
                <w:szCs w:val="20"/>
              </w:rPr>
            </w:pPr>
            <w:r>
              <w:rPr>
                <w:rFonts w:cs="Calibri"/>
                <w:sz w:val="20"/>
                <w:szCs w:val="20"/>
              </w:rPr>
              <w:t>.58</w:t>
            </w:r>
          </w:p>
        </w:tc>
        <w:tc>
          <w:tcPr>
            <w:tcW w:w="620" w:type="pct"/>
            <w:shd w:val="clear" w:color="auto" w:fill="auto"/>
          </w:tcPr>
          <w:p w:rsidR="00442BDA" w:rsidRPr="00442BDA" w:rsidRDefault="00442BDA" w:rsidP="00442BDA">
            <w:pPr>
              <w:spacing w:after="0"/>
              <w:jc w:val="center"/>
              <w:rPr>
                <w:rFonts w:cs="Calibri"/>
                <w:sz w:val="20"/>
                <w:szCs w:val="20"/>
              </w:rPr>
            </w:pPr>
            <w:r>
              <w:rPr>
                <w:rFonts w:cs="Calibri"/>
                <w:sz w:val="20"/>
                <w:szCs w:val="20"/>
              </w:rPr>
              <w:t>.55</w:t>
            </w:r>
          </w:p>
        </w:tc>
        <w:tc>
          <w:tcPr>
            <w:tcW w:w="495" w:type="pct"/>
            <w:shd w:val="clear" w:color="auto" w:fill="auto"/>
          </w:tcPr>
          <w:p w:rsidR="00442BDA" w:rsidRPr="00442BDA" w:rsidRDefault="00442BDA" w:rsidP="00442BDA">
            <w:pPr>
              <w:spacing w:after="0"/>
              <w:jc w:val="center"/>
              <w:rPr>
                <w:rFonts w:cs="Calibri"/>
                <w:sz w:val="20"/>
                <w:szCs w:val="20"/>
              </w:rPr>
            </w:pPr>
            <w:r>
              <w:rPr>
                <w:rFonts w:cs="Calibri"/>
                <w:sz w:val="20"/>
                <w:szCs w:val="20"/>
              </w:rPr>
              <w:t>.15</w:t>
            </w:r>
          </w:p>
        </w:tc>
      </w:tr>
    </w:tbl>
    <w:p w:rsidR="00442BDA" w:rsidRDefault="00442BDA" w:rsidP="007B5D16">
      <w:pPr>
        <w:jc w:val="center"/>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670"/>
        <w:gridCol w:w="642"/>
        <w:gridCol w:w="653"/>
        <w:gridCol w:w="588"/>
        <w:gridCol w:w="852"/>
        <w:gridCol w:w="1187"/>
        <w:gridCol w:w="948"/>
      </w:tblGrid>
      <w:tr w:rsidR="00442BDA" w:rsidRPr="00EE2A29" w:rsidTr="00E94EF4">
        <w:trPr>
          <w:trHeight w:val="278"/>
        </w:trPr>
        <w:tc>
          <w:tcPr>
            <w:tcW w:w="2107" w:type="pct"/>
            <w:shd w:val="clear" w:color="auto" w:fill="auto"/>
          </w:tcPr>
          <w:p w:rsidR="00442BDA" w:rsidRPr="00C9698F" w:rsidRDefault="00442BDA" w:rsidP="00E94EF4">
            <w:pPr>
              <w:spacing w:after="0"/>
              <w:jc w:val="center"/>
              <w:rPr>
                <w:rFonts w:cs="Calibri"/>
                <w:b/>
                <w:color w:val="943634"/>
                <w:sz w:val="16"/>
                <w:szCs w:val="16"/>
              </w:rPr>
            </w:pPr>
            <w:r>
              <w:rPr>
                <w:rFonts w:cs="Calibri"/>
                <w:b/>
                <w:color w:val="943634"/>
                <w:sz w:val="20"/>
                <w:szCs w:val="20"/>
              </w:rPr>
              <w:t xml:space="preserve">Average Monthly Temperatures </w:t>
            </w:r>
            <w:r>
              <w:rPr>
                <w:rFonts w:cs="Calibri"/>
                <w:b/>
                <w:color w:val="943634"/>
                <w:sz w:val="16"/>
                <w:szCs w:val="16"/>
              </w:rPr>
              <w:t>(Degrees Fahrenheit)</w:t>
            </w:r>
          </w:p>
        </w:tc>
        <w:tc>
          <w:tcPr>
            <w:tcW w:w="350"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April</w:t>
            </w:r>
          </w:p>
        </w:tc>
        <w:tc>
          <w:tcPr>
            <w:tcW w:w="335"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May</w:t>
            </w:r>
          </w:p>
        </w:tc>
        <w:tc>
          <w:tcPr>
            <w:tcW w:w="341"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June</w:t>
            </w:r>
          </w:p>
        </w:tc>
        <w:tc>
          <w:tcPr>
            <w:tcW w:w="307"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July</w:t>
            </w:r>
          </w:p>
        </w:tc>
        <w:tc>
          <w:tcPr>
            <w:tcW w:w="445"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August</w:t>
            </w:r>
          </w:p>
        </w:tc>
        <w:tc>
          <w:tcPr>
            <w:tcW w:w="620"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September</w:t>
            </w:r>
          </w:p>
        </w:tc>
        <w:tc>
          <w:tcPr>
            <w:tcW w:w="495" w:type="pct"/>
            <w:shd w:val="clear" w:color="auto" w:fill="auto"/>
          </w:tcPr>
          <w:p w:rsidR="00442BDA" w:rsidRPr="00EE2A29" w:rsidRDefault="00442BDA" w:rsidP="00E94EF4">
            <w:pPr>
              <w:spacing w:after="0"/>
              <w:jc w:val="center"/>
              <w:rPr>
                <w:rFonts w:cs="Calibri"/>
                <w:b/>
                <w:sz w:val="16"/>
                <w:szCs w:val="16"/>
              </w:rPr>
            </w:pPr>
            <w:r w:rsidRPr="00EE2A29">
              <w:rPr>
                <w:rFonts w:cs="Calibri"/>
                <w:b/>
                <w:sz w:val="16"/>
                <w:szCs w:val="16"/>
              </w:rPr>
              <w:t>October</w:t>
            </w:r>
          </w:p>
        </w:tc>
      </w:tr>
      <w:tr w:rsidR="00442BDA" w:rsidRPr="00EE2A29" w:rsidTr="00E94EF4">
        <w:tc>
          <w:tcPr>
            <w:tcW w:w="2107" w:type="pct"/>
            <w:shd w:val="clear" w:color="auto" w:fill="auto"/>
          </w:tcPr>
          <w:p w:rsidR="00442BDA" w:rsidRPr="00EE2A29" w:rsidRDefault="00442BDA" w:rsidP="00E94EF4">
            <w:pPr>
              <w:spacing w:after="0"/>
              <w:rPr>
                <w:rFonts w:cs="Calibri"/>
                <w:sz w:val="16"/>
                <w:szCs w:val="16"/>
              </w:rPr>
            </w:pPr>
            <w:r w:rsidRPr="00EE2A29">
              <w:rPr>
                <w:rFonts w:cs="Calibri"/>
                <w:b/>
                <w:sz w:val="20"/>
                <w:szCs w:val="20"/>
              </w:rPr>
              <w:t xml:space="preserve">Snow Spring Creek </w:t>
            </w:r>
            <w:r w:rsidRPr="00EE2A29">
              <w:rPr>
                <w:rFonts w:cs="Calibri"/>
                <w:b/>
                <w:sz w:val="16"/>
                <w:szCs w:val="16"/>
              </w:rPr>
              <w:t>(Sweetwater County)</w:t>
            </w:r>
          </w:p>
        </w:tc>
        <w:tc>
          <w:tcPr>
            <w:tcW w:w="350" w:type="pct"/>
            <w:shd w:val="clear" w:color="auto" w:fill="auto"/>
          </w:tcPr>
          <w:p w:rsidR="00442BDA" w:rsidRPr="00EE2A29" w:rsidRDefault="00E94EF4" w:rsidP="00E94EF4">
            <w:pPr>
              <w:spacing w:after="0"/>
              <w:jc w:val="center"/>
              <w:rPr>
                <w:rFonts w:cs="Calibri"/>
                <w:sz w:val="20"/>
                <w:szCs w:val="20"/>
              </w:rPr>
            </w:pPr>
            <w:r>
              <w:rPr>
                <w:rFonts w:cs="Calibri"/>
                <w:sz w:val="20"/>
                <w:szCs w:val="20"/>
              </w:rPr>
              <w:t>51.2</w:t>
            </w:r>
          </w:p>
        </w:tc>
        <w:tc>
          <w:tcPr>
            <w:tcW w:w="335" w:type="pct"/>
            <w:shd w:val="clear" w:color="auto" w:fill="auto"/>
          </w:tcPr>
          <w:p w:rsidR="00442BDA" w:rsidRPr="00EE2A29" w:rsidRDefault="00E94EF4" w:rsidP="00E94EF4">
            <w:pPr>
              <w:spacing w:after="0"/>
              <w:jc w:val="center"/>
              <w:rPr>
                <w:rFonts w:cs="Calibri"/>
                <w:sz w:val="20"/>
                <w:szCs w:val="20"/>
              </w:rPr>
            </w:pPr>
            <w:r>
              <w:rPr>
                <w:rFonts w:cs="Calibri"/>
                <w:sz w:val="20"/>
                <w:szCs w:val="20"/>
              </w:rPr>
              <w:t>59.6</w:t>
            </w:r>
          </w:p>
        </w:tc>
        <w:tc>
          <w:tcPr>
            <w:tcW w:w="341" w:type="pct"/>
            <w:shd w:val="clear" w:color="auto" w:fill="auto"/>
          </w:tcPr>
          <w:p w:rsidR="00442BDA" w:rsidRPr="00EE2A29" w:rsidRDefault="00E94EF4" w:rsidP="00E94EF4">
            <w:pPr>
              <w:spacing w:after="0"/>
              <w:jc w:val="center"/>
              <w:rPr>
                <w:rFonts w:cs="Calibri"/>
                <w:sz w:val="20"/>
                <w:szCs w:val="20"/>
              </w:rPr>
            </w:pPr>
            <w:r>
              <w:rPr>
                <w:rFonts w:cs="Calibri"/>
                <w:sz w:val="20"/>
                <w:szCs w:val="20"/>
              </w:rPr>
              <w:t>74.1</w:t>
            </w:r>
          </w:p>
        </w:tc>
        <w:tc>
          <w:tcPr>
            <w:tcW w:w="307" w:type="pct"/>
            <w:shd w:val="clear" w:color="auto" w:fill="auto"/>
          </w:tcPr>
          <w:p w:rsidR="00442BDA" w:rsidRPr="00EE2A29" w:rsidRDefault="00E94EF4" w:rsidP="00E94EF4">
            <w:pPr>
              <w:spacing w:after="0"/>
              <w:jc w:val="center"/>
              <w:rPr>
                <w:rFonts w:cs="Calibri"/>
                <w:sz w:val="20"/>
                <w:szCs w:val="20"/>
              </w:rPr>
            </w:pPr>
            <w:r>
              <w:rPr>
                <w:rFonts w:cs="Calibri"/>
                <w:sz w:val="20"/>
                <w:szCs w:val="20"/>
              </w:rPr>
              <w:t>78</w:t>
            </w:r>
          </w:p>
        </w:tc>
        <w:tc>
          <w:tcPr>
            <w:tcW w:w="445" w:type="pct"/>
            <w:shd w:val="clear" w:color="auto" w:fill="auto"/>
          </w:tcPr>
          <w:p w:rsidR="00442BDA" w:rsidRPr="00EE2A29" w:rsidRDefault="00E94EF4" w:rsidP="00E94EF4">
            <w:pPr>
              <w:spacing w:after="0"/>
              <w:jc w:val="center"/>
              <w:rPr>
                <w:rFonts w:cs="Calibri"/>
                <w:sz w:val="20"/>
                <w:szCs w:val="20"/>
              </w:rPr>
            </w:pPr>
            <w:r>
              <w:rPr>
                <w:rFonts w:cs="Calibri"/>
                <w:sz w:val="20"/>
                <w:szCs w:val="20"/>
              </w:rPr>
              <w:t>78.8</w:t>
            </w:r>
          </w:p>
        </w:tc>
        <w:tc>
          <w:tcPr>
            <w:tcW w:w="620" w:type="pct"/>
            <w:shd w:val="clear" w:color="auto" w:fill="auto"/>
          </w:tcPr>
          <w:p w:rsidR="00442BDA" w:rsidRPr="00EE2A29" w:rsidRDefault="00E94EF4" w:rsidP="00E94EF4">
            <w:pPr>
              <w:spacing w:after="0"/>
              <w:jc w:val="center"/>
              <w:rPr>
                <w:rFonts w:cs="Calibri"/>
                <w:sz w:val="20"/>
                <w:szCs w:val="20"/>
              </w:rPr>
            </w:pPr>
            <w:r>
              <w:rPr>
                <w:rFonts w:cs="Calibri"/>
                <w:sz w:val="20"/>
                <w:szCs w:val="20"/>
              </w:rPr>
              <w:t>68</w:t>
            </w:r>
          </w:p>
        </w:tc>
        <w:tc>
          <w:tcPr>
            <w:tcW w:w="495" w:type="pct"/>
            <w:shd w:val="clear" w:color="auto" w:fill="auto"/>
          </w:tcPr>
          <w:p w:rsidR="00442BDA" w:rsidRPr="00EE2A29" w:rsidRDefault="00E94EF4" w:rsidP="00E94EF4">
            <w:pPr>
              <w:spacing w:after="0"/>
              <w:jc w:val="center"/>
              <w:rPr>
                <w:rFonts w:cs="Calibri"/>
                <w:sz w:val="20"/>
                <w:szCs w:val="20"/>
              </w:rPr>
            </w:pPr>
            <w:r>
              <w:rPr>
                <w:rFonts w:cs="Calibri"/>
                <w:sz w:val="20"/>
                <w:szCs w:val="20"/>
              </w:rPr>
              <w:t>51.2</w:t>
            </w:r>
          </w:p>
        </w:tc>
      </w:tr>
      <w:tr w:rsidR="00442BDA" w:rsidRPr="00EE2A29" w:rsidTr="00E94EF4">
        <w:tc>
          <w:tcPr>
            <w:tcW w:w="2107" w:type="pct"/>
            <w:shd w:val="clear" w:color="auto" w:fill="auto"/>
          </w:tcPr>
          <w:p w:rsidR="00442BDA" w:rsidRPr="00EE2A29" w:rsidRDefault="00442BDA" w:rsidP="00E94EF4">
            <w:pPr>
              <w:spacing w:after="0"/>
              <w:jc w:val="both"/>
              <w:rPr>
                <w:rFonts w:cs="Calibri"/>
                <w:b/>
                <w:sz w:val="16"/>
                <w:szCs w:val="16"/>
              </w:rPr>
            </w:pPr>
            <w:r w:rsidRPr="00EE2A29">
              <w:rPr>
                <w:rFonts w:cs="Calibri"/>
                <w:b/>
                <w:sz w:val="20"/>
                <w:szCs w:val="20"/>
              </w:rPr>
              <w:t xml:space="preserve">Dodge Creek </w:t>
            </w:r>
            <w:r w:rsidRPr="00EE2A29">
              <w:rPr>
                <w:rFonts w:cs="Calibri"/>
                <w:b/>
                <w:sz w:val="16"/>
                <w:szCs w:val="16"/>
              </w:rPr>
              <w:t>(Albany County)</w:t>
            </w:r>
          </w:p>
        </w:tc>
        <w:tc>
          <w:tcPr>
            <w:tcW w:w="350" w:type="pct"/>
            <w:shd w:val="clear" w:color="auto" w:fill="auto"/>
          </w:tcPr>
          <w:p w:rsidR="00442BDA" w:rsidRPr="00EE2A29" w:rsidRDefault="00E94EF4" w:rsidP="00E94EF4">
            <w:pPr>
              <w:spacing w:after="0"/>
              <w:jc w:val="center"/>
              <w:rPr>
                <w:rFonts w:cs="Calibri"/>
                <w:sz w:val="20"/>
                <w:szCs w:val="20"/>
              </w:rPr>
            </w:pPr>
            <w:r>
              <w:rPr>
                <w:rFonts w:cs="Calibri"/>
                <w:sz w:val="20"/>
                <w:szCs w:val="20"/>
              </w:rPr>
              <w:t>53.1</w:t>
            </w:r>
          </w:p>
        </w:tc>
        <w:tc>
          <w:tcPr>
            <w:tcW w:w="335" w:type="pct"/>
            <w:shd w:val="clear" w:color="auto" w:fill="auto"/>
          </w:tcPr>
          <w:p w:rsidR="00442BDA" w:rsidRPr="00EE2A29" w:rsidRDefault="00E94EF4" w:rsidP="00E94EF4">
            <w:pPr>
              <w:spacing w:after="0"/>
              <w:jc w:val="center"/>
              <w:rPr>
                <w:rFonts w:cs="Calibri"/>
                <w:sz w:val="20"/>
                <w:szCs w:val="20"/>
              </w:rPr>
            </w:pPr>
            <w:r>
              <w:rPr>
                <w:rFonts w:cs="Calibri"/>
                <w:sz w:val="20"/>
                <w:szCs w:val="20"/>
              </w:rPr>
              <w:t>59.5</w:t>
            </w:r>
          </w:p>
        </w:tc>
        <w:tc>
          <w:tcPr>
            <w:tcW w:w="341" w:type="pct"/>
            <w:shd w:val="clear" w:color="auto" w:fill="auto"/>
          </w:tcPr>
          <w:p w:rsidR="00442BDA" w:rsidRPr="00EE2A29" w:rsidRDefault="00E94EF4" w:rsidP="00E94EF4">
            <w:pPr>
              <w:spacing w:after="0"/>
              <w:jc w:val="center"/>
              <w:rPr>
                <w:rFonts w:cs="Calibri"/>
                <w:sz w:val="20"/>
                <w:szCs w:val="20"/>
              </w:rPr>
            </w:pPr>
            <w:r>
              <w:rPr>
                <w:rFonts w:cs="Calibri"/>
                <w:sz w:val="20"/>
                <w:szCs w:val="20"/>
              </w:rPr>
              <w:t>76</w:t>
            </w:r>
          </w:p>
        </w:tc>
        <w:tc>
          <w:tcPr>
            <w:tcW w:w="307" w:type="pct"/>
            <w:shd w:val="clear" w:color="auto" w:fill="auto"/>
          </w:tcPr>
          <w:p w:rsidR="00442BDA" w:rsidRPr="00EE2A29" w:rsidRDefault="00E94EF4" w:rsidP="00E94EF4">
            <w:pPr>
              <w:spacing w:after="0"/>
              <w:jc w:val="center"/>
              <w:rPr>
                <w:rFonts w:cs="Calibri"/>
                <w:sz w:val="20"/>
                <w:szCs w:val="20"/>
              </w:rPr>
            </w:pPr>
            <w:r>
              <w:rPr>
                <w:rFonts w:cs="Calibri"/>
                <w:sz w:val="20"/>
                <w:szCs w:val="20"/>
              </w:rPr>
              <w:t>80.3</w:t>
            </w:r>
          </w:p>
        </w:tc>
        <w:tc>
          <w:tcPr>
            <w:tcW w:w="445" w:type="pct"/>
            <w:shd w:val="clear" w:color="auto" w:fill="auto"/>
          </w:tcPr>
          <w:p w:rsidR="00442BDA" w:rsidRPr="00EE2A29" w:rsidRDefault="00E94EF4" w:rsidP="00E94EF4">
            <w:pPr>
              <w:spacing w:after="0"/>
              <w:jc w:val="center"/>
              <w:rPr>
                <w:rFonts w:cs="Calibri"/>
                <w:sz w:val="20"/>
                <w:szCs w:val="20"/>
              </w:rPr>
            </w:pPr>
            <w:r>
              <w:rPr>
                <w:rFonts w:cs="Calibri"/>
                <w:sz w:val="20"/>
                <w:szCs w:val="20"/>
              </w:rPr>
              <w:t>78.4</w:t>
            </w:r>
          </w:p>
        </w:tc>
        <w:tc>
          <w:tcPr>
            <w:tcW w:w="620" w:type="pct"/>
            <w:shd w:val="clear" w:color="auto" w:fill="auto"/>
          </w:tcPr>
          <w:p w:rsidR="00442BDA" w:rsidRPr="00EE2A29" w:rsidRDefault="00E94EF4" w:rsidP="00E94EF4">
            <w:pPr>
              <w:spacing w:after="0"/>
              <w:jc w:val="center"/>
              <w:rPr>
                <w:rFonts w:cs="Calibri"/>
                <w:sz w:val="20"/>
                <w:szCs w:val="20"/>
              </w:rPr>
            </w:pPr>
            <w:r>
              <w:rPr>
                <w:rFonts w:cs="Calibri"/>
                <w:sz w:val="20"/>
                <w:szCs w:val="20"/>
              </w:rPr>
              <w:t>67.9</w:t>
            </w:r>
          </w:p>
        </w:tc>
        <w:tc>
          <w:tcPr>
            <w:tcW w:w="495" w:type="pct"/>
            <w:shd w:val="clear" w:color="auto" w:fill="auto"/>
          </w:tcPr>
          <w:p w:rsidR="00442BDA" w:rsidRPr="00EE2A29" w:rsidRDefault="00E94EF4" w:rsidP="00E94EF4">
            <w:pPr>
              <w:spacing w:after="0"/>
              <w:jc w:val="center"/>
              <w:rPr>
                <w:rFonts w:cs="Calibri"/>
                <w:sz w:val="20"/>
                <w:szCs w:val="20"/>
              </w:rPr>
            </w:pPr>
            <w:r>
              <w:rPr>
                <w:rFonts w:cs="Calibri"/>
                <w:sz w:val="20"/>
                <w:szCs w:val="20"/>
              </w:rPr>
              <w:t>48.4</w:t>
            </w:r>
          </w:p>
        </w:tc>
      </w:tr>
      <w:tr w:rsidR="00442BDA" w:rsidRPr="00EE2A29" w:rsidTr="00E94EF4">
        <w:tc>
          <w:tcPr>
            <w:tcW w:w="2107" w:type="pct"/>
            <w:shd w:val="clear" w:color="auto" w:fill="auto"/>
          </w:tcPr>
          <w:p w:rsidR="00442BDA" w:rsidRPr="00EE2A29" w:rsidRDefault="00442BDA" w:rsidP="00E94EF4">
            <w:pPr>
              <w:spacing w:after="0"/>
              <w:jc w:val="both"/>
              <w:rPr>
                <w:rFonts w:cs="Calibri"/>
                <w:b/>
                <w:sz w:val="16"/>
                <w:szCs w:val="16"/>
              </w:rPr>
            </w:pPr>
            <w:r w:rsidRPr="00EE2A29">
              <w:rPr>
                <w:rFonts w:cs="Calibri"/>
                <w:b/>
                <w:sz w:val="20"/>
                <w:szCs w:val="20"/>
              </w:rPr>
              <w:t xml:space="preserve">Muddy Creek </w:t>
            </w:r>
            <w:r w:rsidRPr="00EE2A29">
              <w:rPr>
                <w:rFonts w:cs="Calibri"/>
                <w:b/>
                <w:sz w:val="16"/>
                <w:szCs w:val="16"/>
              </w:rPr>
              <w:t>(Uinta County)</w:t>
            </w:r>
          </w:p>
        </w:tc>
        <w:tc>
          <w:tcPr>
            <w:tcW w:w="350" w:type="pct"/>
            <w:shd w:val="clear" w:color="auto" w:fill="auto"/>
          </w:tcPr>
          <w:p w:rsidR="00442BDA" w:rsidRPr="00EE2A29" w:rsidRDefault="00E94EF4" w:rsidP="00E94EF4">
            <w:pPr>
              <w:spacing w:after="0"/>
              <w:jc w:val="center"/>
              <w:rPr>
                <w:rFonts w:cs="Calibri"/>
                <w:sz w:val="20"/>
                <w:szCs w:val="20"/>
              </w:rPr>
            </w:pPr>
            <w:r>
              <w:rPr>
                <w:rFonts w:cs="Calibri"/>
                <w:sz w:val="20"/>
                <w:szCs w:val="20"/>
              </w:rPr>
              <w:t>56.8</w:t>
            </w:r>
          </w:p>
        </w:tc>
        <w:tc>
          <w:tcPr>
            <w:tcW w:w="335" w:type="pct"/>
            <w:shd w:val="clear" w:color="auto" w:fill="auto"/>
          </w:tcPr>
          <w:p w:rsidR="00442BDA" w:rsidRPr="00EE2A29" w:rsidRDefault="00E94EF4" w:rsidP="00E94EF4">
            <w:pPr>
              <w:spacing w:after="0"/>
              <w:jc w:val="center"/>
              <w:rPr>
                <w:rFonts w:cs="Calibri"/>
                <w:sz w:val="20"/>
                <w:szCs w:val="20"/>
              </w:rPr>
            </w:pPr>
            <w:r>
              <w:rPr>
                <w:rFonts w:cs="Calibri"/>
                <w:sz w:val="20"/>
                <w:szCs w:val="20"/>
              </w:rPr>
              <w:t>64.2</w:t>
            </w:r>
          </w:p>
        </w:tc>
        <w:tc>
          <w:tcPr>
            <w:tcW w:w="341" w:type="pct"/>
            <w:shd w:val="clear" w:color="auto" w:fill="auto"/>
          </w:tcPr>
          <w:p w:rsidR="00442BDA" w:rsidRPr="00EE2A29" w:rsidRDefault="00E94EF4" w:rsidP="00E94EF4">
            <w:pPr>
              <w:spacing w:after="0"/>
              <w:jc w:val="center"/>
              <w:rPr>
                <w:rFonts w:cs="Calibri"/>
                <w:sz w:val="20"/>
                <w:szCs w:val="20"/>
              </w:rPr>
            </w:pPr>
            <w:r>
              <w:rPr>
                <w:rFonts w:cs="Calibri"/>
                <w:sz w:val="20"/>
                <w:szCs w:val="20"/>
              </w:rPr>
              <w:t>77.1</w:t>
            </w:r>
          </w:p>
        </w:tc>
        <w:tc>
          <w:tcPr>
            <w:tcW w:w="307" w:type="pct"/>
            <w:shd w:val="clear" w:color="auto" w:fill="auto"/>
          </w:tcPr>
          <w:p w:rsidR="00442BDA" w:rsidRPr="00EE2A29" w:rsidRDefault="00E94EF4" w:rsidP="00E94EF4">
            <w:pPr>
              <w:spacing w:after="0"/>
              <w:jc w:val="center"/>
              <w:rPr>
                <w:rFonts w:cs="Calibri"/>
                <w:sz w:val="20"/>
                <w:szCs w:val="20"/>
              </w:rPr>
            </w:pPr>
            <w:r>
              <w:rPr>
                <w:rFonts w:cs="Calibri"/>
                <w:sz w:val="20"/>
                <w:szCs w:val="20"/>
              </w:rPr>
              <w:t>81.7</w:t>
            </w:r>
          </w:p>
        </w:tc>
        <w:tc>
          <w:tcPr>
            <w:tcW w:w="445" w:type="pct"/>
            <w:shd w:val="clear" w:color="auto" w:fill="auto"/>
          </w:tcPr>
          <w:p w:rsidR="00442BDA" w:rsidRPr="00EE2A29" w:rsidRDefault="00E94EF4" w:rsidP="00E94EF4">
            <w:pPr>
              <w:spacing w:after="0"/>
              <w:jc w:val="center"/>
              <w:rPr>
                <w:rFonts w:cs="Calibri"/>
                <w:sz w:val="20"/>
                <w:szCs w:val="20"/>
              </w:rPr>
            </w:pPr>
            <w:r>
              <w:rPr>
                <w:rFonts w:cs="Calibri"/>
                <w:sz w:val="20"/>
                <w:szCs w:val="20"/>
              </w:rPr>
              <w:t>81.7</w:t>
            </w:r>
          </w:p>
        </w:tc>
        <w:tc>
          <w:tcPr>
            <w:tcW w:w="620" w:type="pct"/>
            <w:shd w:val="clear" w:color="auto" w:fill="auto"/>
          </w:tcPr>
          <w:p w:rsidR="00442BDA" w:rsidRPr="00EE2A29" w:rsidRDefault="00E94EF4" w:rsidP="00E94EF4">
            <w:pPr>
              <w:spacing w:after="0"/>
              <w:jc w:val="center"/>
              <w:rPr>
                <w:rFonts w:cs="Calibri"/>
                <w:sz w:val="20"/>
                <w:szCs w:val="20"/>
              </w:rPr>
            </w:pPr>
            <w:r>
              <w:rPr>
                <w:rFonts w:cs="Calibri"/>
                <w:sz w:val="20"/>
                <w:szCs w:val="20"/>
              </w:rPr>
              <w:t>72.9</w:t>
            </w:r>
          </w:p>
        </w:tc>
        <w:tc>
          <w:tcPr>
            <w:tcW w:w="495" w:type="pct"/>
            <w:shd w:val="clear" w:color="auto" w:fill="auto"/>
          </w:tcPr>
          <w:p w:rsidR="00442BDA" w:rsidRPr="00EE2A29" w:rsidRDefault="00E94EF4" w:rsidP="00E94EF4">
            <w:pPr>
              <w:spacing w:after="0"/>
              <w:jc w:val="center"/>
              <w:rPr>
                <w:rFonts w:cs="Calibri"/>
                <w:sz w:val="20"/>
                <w:szCs w:val="20"/>
              </w:rPr>
            </w:pPr>
            <w:r>
              <w:rPr>
                <w:rFonts w:cs="Calibri"/>
                <w:sz w:val="20"/>
                <w:szCs w:val="20"/>
              </w:rPr>
              <w:t>55.8</w:t>
            </w:r>
          </w:p>
        </w:tc>
      </w:tr>
      <w:tr w:rsidR="00442BDA" w:rsidRPr="00EE2A29" w:rsidTr="00E94EF4">
        <w:tc>
          <w:tcPr>
            <w:tcW w:w="2107" w:type="pct"/>
            <w:shd w:val="clear" w:color="auto" w:fill="auto"/>
          </w:tcPr>
          <w:p w:rsidR="00442BDA" w:rsidRPr="00EE2A29" w:rsidRDefault="00442BDA" w:rsidP="00E94EF4">
            <w:pPr>
              <w:spacing w:after="0"/>
              <w:jc w:val="both"/>
              <w:rPr>
                <w:rFonts w:cs="Calibri"/>
                <w:b/>
                <w:sz w:val="16"/>
                <w:szCs w:val="16"/>
              </w:rPr>
            </w:pPr>
            <w:r w:rsidRPr="00EE2A29">
              <w:rPr>
                <w:rFonts w:cs="Calibri"/>
                <w:b/>
                <w:sz w:val="20"/>
                <w:szCs w:val="20"/>
              </w:rPr>
              <w:t xml:space="preserve">Anderson Ridge </w:t>
            </w:r>
            <w:r w:rsidRPr="00EE2A29">
              <w:rPr>
                <w:rFonts w:cs="Calibri"/>
                <w:b/>
                <w:sz w:val="16"/>
                <w:szCs w:val="16"/>
              </w:rPr>
              <w:t>(Sublette County)</w:t>
            </w:r>
          </w:p>
        </w:tc>
        <w:tc>
          <w:tcPr>
            <w:tcW w:w="350" w:type="pct"/>
            <w:shd w:val="clear" w:color="auto" w:fill="auto"/>
          </w:tcPr>
          <w:p w:rsidR="00442BDA" w:rsidRPr="00EE2A29" w:rsidRDefault="00E94EF4" w:rsidP="00E94EF4">
            <w:pPr>
              <w:spacing w:after="0"/>
              <w:jc w:val="center"/>
              <w:rPr>
                <w:rFonts w:cs="Calibri"/>
                <w:sz w:val="20"/>
                <w:szCs w:val="20"/>
              </w:rPr>
            </w:pPr>
            <w:r>
              <w:rPr>
                <w:rFonts w:cs="Calibri"/>
                <w:sz w:val="20"/>
                <w:szCs w:val="20"/>
              </w:rPr>
              <w:t>48.9</w:t>
            </w:r>
          </w:p>
        </w:tc>
        <w:tc>
          <w:tcPr>
            <w:tcW w:w="335" w:type="pct"/>
            <w:shd w:val="clear" w:color="auto" w:fill="auto"/>
          </w:tcPr>
          <w:p w:rsidR="00442BDA" w:rsidRPr="00EE2A29" w:rsidRDefault="00E94EF4" w:rsidP="00E94EF4">
            <w:pPr>
              <w:spacing w:after="0"/>
              <w:jc w:val="center"/>
              <w:rPr>
                <w:rFonts w:cs="Calibri"/>
                <w:sz w:val="20"/>
                <w:szCs w:val="20"/>
              </w:rPr>
            </w:pPr>
            <w:r>
              <w:rPr>
                <w:rFonts w:cs="Calibri"/>
                <w:sz w:val="20"/>
                <w:szCs w:val="20"/>
              </w:rPr>
              <w:t>56.3</w:t>
            </w:r>
          </w:p>
        </w:tc>
        <w:tc>
          <w:tcPr>
            <w:tcW w:w="341" w:type="pct"/>
            <w:shd w:val="clear" w:color="auto" w:fill="auto"/>
          </w:tcPr>
          <w:p w:rsidR="00442BDA" w:rsidRPr="00EE2A29" w:rsidRDefault="00E94EF4" w:rsidP="00E94EF4">
            <w:pPr>
              <w:spacing w:after="0"/>
              <w:jc w:val="center"/>
              <w:rPr>
                <w:rFonts w:cs="Calibri"/>
                <w:sz w:val="20"/>
                <w:szCs w:val="20"/>
              </w:rPr>
            </w:pPr>
            <w:r>
              <w:rPr>
                <w:rFonts w:cs="Calibri"/>
                <w:sz w:val="20"/>
                <w:szCs w:val="20"/>
              </w:rPr>
              <w:t>70.8</w:t>
            </w:r>
          </w:p>
        </w:tc>
        <w:tc>
          <w:tcPr>
            <w:tcW w:w="307" w:type="pct"/>
            <w:shd w:val="clear" w:color="auto" w:fill="auto"/>
          </w:tcPr>
          <w:p w:rsidR="00442BDA" w:rsidRPr="00EE2A29" w:rsidRDefault="00E94EF4" w:rsidP="00E94EF4">
            <w:pPr>
              <w:spacing w:after="0"/>
              <w:jc w:val="center"/>
              <w:rPr>
                <w:rFonts w:cs="Calibri"/>
                <w:sz w:val="20"/>
                <w:szCs w:val="20"/>
              </w:rPr>
            </w:pPr>
            <w:r>
              <w:rPr>
                <w:rFonts w:cs="Calibri"/>
                <w:sz w:val="20"/>
                <w:szCs w:val="20"/>
              </w:rPr>
              <w:t>78.8</w:t>
            </w:r>
          </w:p>
        </w:tc>
        <w:tc>
          <w:tcPr>
            <w:tcW w:w="445" w:type="pct"/>
            <w:shd w:val="clear" w:color="auto" w:fill="auto"/>
          </w:tcPr>
          <w:p w:rsidR="00442BDA" w:rsidRPr="00EE2A29" w:rsidRDefault="00E94EF4" w:rsidP="00E94EF4">
            <w:pPr>
              <w:spacing w:after="0"/>
              <w:jc w:val="center"/>
              <w:rPr>
                <w:rFonts w:cs="Calibri"/>
                <w:sz w:val="20"/>
                <w:szCs w:val="20"/>
              </w:rPr>
            </w:pPr>
            <w:r>
              <w:rPr>
                <w:rFonts w:cs="Calibri"/>
                <w:sz w:val="20"/>
                <w:szCs w:val="20"/>
              </w:rPr>
              <w:t>76.1</w:t>
            </w:r>
          </w:p>
        </w:tc>
        <w:tc>
          <w:tcPr>
            <w:tcW w:w="620" w:type="pct"/>
            <w:shd w:val="clear" w:color="auto" w:fill="auto"/>
          </w:tcPr>
          <w:p w:rsidR="00442BDA" w:rsidRPr="00EE2A29" w:rsidRDefault="00E94EF4" w:rsidP="00E94EF4">
            <w:pPr>
              <w:spacing w:after="0"/>
              <w:jc w:val="center"/>
              <w:rPr>
                <w:rFonts w:cs="Calibri"/>
                <w:sz w:val="20"/>
                <w:szCs w:val="20"/>
              </w:rPr>
            </w:pPr>
            <w:r>
              <w:rPr>
                <w:rFonts w:cs="Calibri"/>
                <w:sz w:val="20"/>
                <w:szCs w:val="20"/>
              </w:rPr>
              <w:t>66.1</w:t>
            </w:r>
          </w:p>
        </w:tc>
        <w:tc>
          <w:tcPr>
            <w:tcW w:w="495" w:type="pct"/>
            <w:shd w:val="clear" w:color="auto" w:fill="auto"/>
          </w:tcPr>
          <w:p w:rsidR="00442BDA" w:rsidRPr="00EE2A29" w:rsidRDefault="00E94EF4" w:rsidP="00E94EF4">
            <w:pPr>
              <w:spacing w:after="0"/>
              <w:jc w:val="center"/>
              <w:rPr>
                <w:rFonts w:cs="Calibri"/>
                <w:sz w:val="20"/>
                <w:szCs w:val="20"/>
              </w:rPr>
            </w:pPr>
            <w:r>
              <w:rPr>
                <w:rFonts w:cs="Calibri"/>
                <w:sz w:val="20"/>
                <w:szCs w:val="20"/>
              </w:rPr>
              <w:t>47.2</w:t>
            </w:r>
          </w:p>
        </w:tc>
      </w:tr>
      <w:tr w:rsidR="00442BDA" w:rsidRPr="00EE2A29" w:rsidTr="00E94EF4">
        <w:tc>
          <w:tcPr>
            <w:tcW w:w="2107" w:type="pct"/>
            <w:shd w:val="clear" w:color="auto" w:fill="auto"/>
          </w:tcPr>
          <w:p w:rsidR="00442BDA" w:rsidRPr="00EE2A29" w:rsidRDefault="00442BDA" w:rsidP="00E94EF4">
            <w:pPr>
              <w:spacing w:after="0"/>
              <w:jc w:val="both"/>
              <w:rPr>
                <w:rFonts w:cs="Calibri"/>
                <w:b/>
                <w:sz w:val="16"/>
                <w:szCs w:val="16"/>
              </w:rPr>
            </w:pPr>
            <w:r w:rsidRPr="00EE2A29">
              <w:rPr>
                <w:rFonts w:cs="Calibri"/>
                <w:b/>
                <w:sz w:val="20"/>
                <w:szCs w:val="20"/>
              </w:rPr>
              <w:t xml:space="preserve">Cow Creek </w:t>
            </w:r>
            <w:r w:rsidRPr="00EE2A29">
              <w:rPr>
                <w:rFonts w:cs="Calibri"/>
                <w:b/>
                <w:sz w:val="16"/>
                <w:szCs w:val="16"/>
              </w:rPr>
              <w:t>(Carbon County)</w:t>
            </w:r>
          </w:p>
        </w:tc>
        <w:tc>
          <w:tcPr>
            <w:tcW w:w="350" w:type="pct"/>
            <w:shd w:val="clear" w:color="auto" w:fill="auto"/>
          </w:tcPr>
          <w:p w:rsidR="00442BDA" w:rsidRPr="00EE2A29" w:rsidRDefault="009C76B5" w:rsidP="00E94EF4">
            <w:pPr>
              <w:spacing w:after="0"/>
              <w:jc w:val="center"/>
              <w:rPr>
                <w:rFonts w:cs="Calibri"/>
                <w:sz w:val="20"/>
                <w:szCs w:val="20"/>
              </w:rPr>
            </w:pPr>
            <w:r>
              <w:rPr>
                <w:rFonts w:cs="Calibri"/>
                <w:sz w:val="20"/>
                <w:szCs w:val="20"/>
              </w:rPr>
              <w:t>54</w:t>
            </w:r>
          </w:p>
        </w:tc>
        <w:tc>
          <w:tcPr>
            <w:tcW w:w="335" w:type="pct"/>
            <w:shd w:val="clear" w:color="auto" w:fill="auto"/>
          </w:tcPr>
          <w:p w:rsidR="00442BDA" w:rsidRPr="00EE2A29" w:rsidRDefault="009C76B5" w:rsidP="00E94EF4">
            <w:pPr>
              <w:spacing w:after="0"/>
              <w:jc w:val="center"/>
              <w:rPr>
                <w:rFonts w:cs="Calibri"/>
                <w:sz w:val="20"/>
                <w:szCs w:val="20"/>
              </w:rPr>
            </w:pPr>
            <w:r>
              <w:rPr>
                <w:rFonts w:cs="Calibri"/>
                <w:sz w:val="20"/>
                <w:szCs w:val="20"/>
              </w:rPr>
              <w:t>63.1</w:t>
            </w:r>
          </w:p>
        </w:tc>
        <w:tc>
          <w:tcPr>
            <w:tcW w:w="341" w:type="pct"/>
            <w:shd w:val="clear" w:color="auto" w:fill="auto"/>
          </w:tcPr>
          <w:p w:rsidR="00442BDA" w:rsidRPr="00EE2A29" w:rsidRDefault="009C76B5" w:rsidP="00E94EF4">
            <w:pPr>
              <w:spacing w:after="0"/>
              <w:jc w:val="center"/>
              <w:rPr>
                <w:rFonts w:cs="Calibri"/>
                <w:sz w:val="20"/>
                <w:szCs w:val="20"/>
              </w:rPr>
            </w:pPr>
            <w:r>
              <w:rPr>
                <w:rFonts w:cs="Calibri"/>
                <w:sz w:val="20"/>
                <w:szCs w:val="20"/>
              </w:rPr>
              <w:t>78.3</w:t>
            </w:r>
          </w:p>
        </w:tc>
        <w:tc>
          <w:tcPr>
            <w:tcW w:w="307" w:type="pct"/>
            <w:shd w:val="clear" w:color="auto" w:fill="auto"/>
          </w:tcPr>
          <w:p w:rsidR="00442BDA" w:rsidRPr="00EE2A29" w:rsidRDefault="009C76B5" w:rsidP="00E94EF4">
            <w:pPr>
              <w:spacing w:after="0"/>
              <w:jc w:val="center"/>
              <w:rPr>
                <w:rFonts w:cs="Calibri"/>
                <w:sz w:val="20"/>
                <w:szCs w:val="20"/>
              </w:rPr>
            </w:pPr>
            <w:r>
              <w:rPr>
                <w:rFonts w:cs="Calibri"/>
                <w:sz w:val="20"/>
                <w:szCs w:val="20"/>
              </w:rPr>
              <w:t>82</w:t>
            </w:r>
          </w:p>
        </w:tc>
        <w:tc>
          <w:tcPr>
            <w:tcW w:w="445" w:type="pct"/>
            <w:shd w:val="clear" w:color="auto" w:fill="auto"/>
          </w:tcPr>
          <w:p w:rsidR="00442BDA" w:rsidRPr="00EE2A29" w:rsidRDefault="009C76B5" w:rsidP="00E94EF4">
            <w:pPr>
              <w:spacing w:after="0"/>
              <w:jc w:val="center"/>
              <w:rPr>
                <w:rFonts w:cs="Calibri"/>
                <w:sz w:val="20"/>
                <w:szCs w:val="20"/>
              </w:rPr>
            </w:pPr>
            <w:r>
              <w:rPr>
                <w:rFonts w:cs="Calibri"/>
                <w:sz w:val="20"/>
                <w:szCs w:val="20"/>
              </w:rPr>
              <w:t>79.8</w:t>
            </w:r>
          </w:p>
        </w:tc>
        <w:tc>
          <w:tcPr>
            <w:tcW w:w="620" w:type="pct"/>
            <w:shd w:val="clear" w:color="auto" w:fill="auto"/>
          </w:tcPr>
          <w:p w:rsidR="00442BDA" w:rsidRPr="00EE2A29" w:rsidRDefault="009C76B5" w:rsidP="00E94EF4">
            <w:pPr>
              <w:spacing w:after="0"/>
              <w:jc w:val="center"/>
              <w:rPr>
                <w:rFonts w:cs="Calibri"/>
                <w:sz w:val="20"/>
                <w:szCs w:val="20"/>
              </w:rPr>
            </w:pPr>
            <w:r>
              <w:rPr>
                <w:rFonts w:cs="Calibri"/>
                <w:sz w:val="20"/>
                <w:szCs w:val="20"/>
              </w:rPr>
              <w:t>70.1</w:t>
            </w:r>
          </w:p>
        </w:tc>
        <w:tc>
          <w:tcPr>
            <w:tcW w:w="495" w:type="pct"/>
            <w:shd w:val="clear" w:color="auto" w:fill="auto"/>
          </w:tcPr>
          <w:p w:rsidR="00442BDA" w:rsidRPr="00EE2A29" w:rsidRDefault="009C76B5" w:rsidP="00E94EF4">
            <w:pPr>
              <w:spacing w:after="0"/>
              <w:jc w:val="center"/>
              <w:rPr>
                <w:rFonts w:cs="Calibri"/>
                <w:sz w:val="20"/>
                <w:szCs w:val="20"/>
              </w:rPr>
            </w:pPr>
            <w:r>
              <w:rPr>
                <w:rFonts w:cs="Calibri"/>
                <w:sz w:val="20"/>
                <w:szCs w:val="20"/>
              </w:rPr>
              <w:t>52</w:t>
            </w:r>
          </w:p>
        </w:tc>
      </w:tr>
    </w:tbl>
    <w:p w:rsidR="006E2F58" w:rsidRPr="00872030" w:rsidRDefault="006E2F58" w:rsidP="007B5D16">
      <w:pPr>
        <w:rPr>
          <w:rFonts w:cs="Calibri"/>
          <w:sz w:val="20"/>
          <w:szCs w:val="20"/>
        </w:rPr>
      </w:pPr>
    </w:p>
    <w:sectPr w:rsidR="006E2F58" w:rsidRPr="0087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5AB"/>
    <w:multiLevelType w:val="hybridMultilevel"/>
    <w:tmpl w:val="0B0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98"/>
    <w:rsid w:val="000008E6"/>
    <w:rsid w:val="000031CB"/>
    <w:rsid w:val="00021A84"/>
    <w:rsid w:val="000379C9"/>
    <w:rsid w:val="00053292"/>
    <w:rsid w:val="00085D7D"/>
    <w:rsid w:val="000A1A18"/>
    <w:rsid w:val="000D31DA"/>
    <w:rsid w:val="000F572E"/>
    <w:rsid w:val="000F5FA5"/>
    <w:rsid w:val="00100955"/>
    <w:rsid w:val="00111805"/>
    <w:rsid w:val="00117EF8"/>
    <w:rsid w:val="00193FD0"/>
    <w:rsid w:val="001E3520"/>
    <w:rsid w:val="00214E16"/>
    <w:rsid w:val="002361EF"/>
    <w:rsid w:val="00254140"/>
    <w:rsid w:val="00265B51"/>
    <w:rsid w:val="002760BF"/>
    <w:rsid w:val="002E6AAD"/>
    <w:rsid w:val="00317F31"/>
    <w:rsid w:val="00343316"/>
    <w:rsid w:val="003C7E12"/>
    <w:rsid w:val="00404030"/>
    <w:rsid w:val="00410BFC"/>
    <w:rsid w:val="00442BDA"/>
    <w:rsid w:val="0044416A"/>
    <w:rsid w:val="004E76C5"/>
    <w:rsid w:val="004F6F10"/>
    <w:rsid w:val="00535304"/>
    <w:rsid w:val="00561109"/>
    <w:rsid w:val="005645EA"/>
    <w:rsid w:val="005902E5"/>
    <w:rsid w:val="005D3A66"/>
    <w:rsid w:val="005E488E"/>
    <w:rsid w:val="005F2542"/>
    <w:rsid w:val="006012F1"/>
    <w:rsid w:val="00631375"/>
    <w:rsid w:val="006527C9"/>
    <w:rsid w:val="006C24B1"/>
    <w:rsid w:val="006E2F58"/>
    <w:rsid w:val="006F056A"/>
    <w:rsid w:val="00787B6F"/>
    <w:rsid w:val="007B492B"/>
    <w:rsid w:val="007B5D16"/>
    <w:rsid w:val="007C51A7"/>
    <w:rsid w:val="007F5B4B"/>
    <w:rsid w:val="0084066E"/>
    <w:rsid w:val="00857893"/>
    <w:rsid w:val="00872030"/>
    <w:rsid w:val="008936B7"/>
    <w:rsid w:val="008A24BC"/>
    <w:rsid w:val="008E5C7A"/>
    <w:rsid w:val="0092281F"/>
    <w:rsid w:val="0092524B"/>
    <w:rsid w:val="00945999"/>
    <w:rsid w:val="009503DF"/>
    <w:rsid w:val="009771E2"/>
    <w:rsid w:val="00981E68"/>
    <w:rsid w:val="00984BBA"/>
    <w:rsid w:val="009C76B5"/>
    <w:rsid w:val="00A06F89"/>
    <w:rsid w:val="00A24AA2"/>
    <w:rsid w:val="00A336A3"/>
    <w:rsid w:val="00A60D9B"/>
    <w:rsid w:val="00A728A0"/>
    <w:rsid w:val="00A768B8"/>
    <w:rsid w:val="00A8181A"/>
    <w:rsid w:val="00A9726C"/>
    <w:rsid w:val="00AA2BB7"/>
    <w:rsid w:val="00AE42A8"/>
    <w:rsid w:val="00AE4D43"/>
    <w:rsid w:val="00B03381"/>
    <w:rsid w:val="00B04DAD"/>
    <w:rsid w:val="00B364D6"/>
    <w:rsid w:val="00B53152"/>
    <w:rsid w:val="00B5607F"/>
    <w:rsid w:val="00B627E0"/>
    <w:rsid w:val="00B75531"/>
    <w:rsid w:val="00C9698F"/>
    <w:rsid w:val="00D16265"/>
    <w:rsid w:val="00D212EB"/>
    <w:rsid w:val="00D83E3C"/>
    <w:rsid w:val="00D96DAC"/>
    <w:rsid w:val="00DB743D"/>
    <w:rsid w:val="00DC5512"/>
    <w:rsid w:val="00DD2DBB"/>
    <w:rsid w:val="00E02EF5"/>
    <w:rsid w:val="00E44464"/>
    <w:rsid w:val="00E94EF4"/>
    <w:rsid w:val="00EA19C3"/>
    <w:rsid w:val="00EE2A29"/>
    <w:rsid w:val="00EF3710"/>
    <w:rsid w:val="00F15218"/>
    <w:rsid w:val="00F27598"/>
    <w:rsid w:val="00F45CA9"/>
    <w:rsid w:val="00F8547F"/>
    <w:rsid w:val="00F93098"/>
    <w:rsid w:val="00FC6C96"/>
    <w:rsid w:val="00FE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1A7"/>
    <w:rPr>
      <w:rFonts w:ascii="Tahoma" w:hAnsi="Tahoma" w:cs="Tahoma"/>
      <w:sz w:val="16"/>
      <w:szCs w:val="16"/>
    </w:rPr>
  </w:style>
  <w:style w:type="paragraph" w:styleId="ListParagraph">
    <w:name w:val="List Paragraph"/>
    <w:basedOn w:val="Normal"/>
    <w:uiPriority w:val="34"/>
    <w:qFormat/>
    <w:rsid w:val="00787B6F"/>
    <w:pPr>
      <w:ind w:left="720"/>
      <w:contextualSpacing/>
    </w:pPr>
  </w:style>
  <w:style w:type="table" w:styleId="LightShading">
    <w:name w:val="Light Shading"/>
    <w:basedOn w:val="TableNormal"/>
    <w:uiPriority w:val="60"/>
    <w:rsid w:val="008406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1A7"/>
    <w:rPr>
      <w:rFonts w:ascii="Tahoma" w:hAnsi="Tahoma" w:cs="Tahoma"/>
      <w:sz w:val="16"/>
      <w:szCs w:val="16"/>
    </w:rPr>
  </w:style>
  <w:style w:type="paragraph" w:styleId="ListParagraph">
    <w:name w:val="List Paragraph"/>
    <w:basedOn w:val="Normal"/>
    <w:uiPriority w:val="34"/>
    <w:qFormat/>
    <w:rsid w:val="00787B6F"/>
    <w:pPr>
      <w:ind w:left="720"/>
      <w:contextualSpacing/>
    </w:pPr>
  </w:style>
  <w:style w:type="table" w:styleId="LightShading">
    <w:name w:val="Light Shading"/>
    <w:basedOn w:val="TableNormal"/>
    <w:uiPriority w:val="60"/>
    <w:rsid w:val="008406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2905">
      <w:bodyDiv w:val="1"/>
      <w:marLeft w:val="0"/>
      <w:marRight w:val="0"/>
      <w:marTop w:val="0"/>
      <w:marBottom w:val="0"/>
      <w:divBdr>
        <w:top w:val="none" w:sz="0" w:space="0" w:color="auto"/>
        <w:left w:val="none" w:sz="0" w:space="0" w:color="auto"/>
        <w:bottom w:val="none" w:sz="0" w:space="0" w:color="auto"/>
        <w:right w:val="none" w:sz="0" w:space="0" w:color="auto"/>
      </w:divBdr>
    </w:div>
    <w:div w:id="1621301919">
      <w:bodyDiv w:val="1"/>
      <w:marLeft w:val="0"/>
      <w:marRight w:val="0"/>
      <w:marTop w:val="0"/>
      <w:marBottom w:val="0"/>
      <w:divBdr>
        <w:top w:val="none" w:sz="0" w:space="0" w:color="auto"/>
        <w:left w:val="none" w:sz="0" w:space="0" w:color="auto"/>
        <w:bottom w:val="none" w:sz="0" w:space="0" w:color="auto"/>
        <w:right w:val="none" w:sz="0" w:space="0" w:color="auto"/>
      </w:divBdr>
    </w:div>
    <w:div w:id="1651598207">
      <w:bodyDiv w:val="1"/>
      <w:marLeft w:val="0"/>
      <w:marRight w:val="0"/>
      <w:marTop w:val="0"/>
      <w:marBottom w:val="0"/>
      <w:divBdr>
        <w:top w:val="none" w:sz="0" w:space="0" w:color="auto"/>
        <w:left w:val="none" w:sz="0" w:space="0" w:color="auto"/>
        <w:bottom w:val="none" w:sz="0" w:space="0" w:color="auto"/>
        <w:right w:val="none" w:sz="0" w:space="0" w:color="auto"/>
      </w:divBdr>
    </w:div>
    <w:div w:id="19723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2079</TotalTime>
  <Pages>10</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dc:creator>
  <cp:keywords/>
  <dc:description/>
  <cp:lastModifiedBy>Russell, Scott E</cp:lastModifiedBy>
  <cp:revision>13</cp:revision>
  <cp:lastPrinted>2013-01-11T17:36:00Z</cp:lastPrinted>
  <dcterms:created xsi:type="dcterms:W3CDTF">2013-01-08T16:43:00Z</dcterms:created>
  <dcterms:modified xsi:type="dcterms:W3CDTF">2013-01-11T22:04:00Z</dcterms:modified>
</cp:coreProperties>
</file>